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03BD" w:rsidRDefault="008F5328" w:rsidP="00F903BD">
      <w:pPr>
        <w:pStyle w:val="IntenseQuote"/>
        <w:rPr>
          <w:color w:val="auto"/>
        </w:rPr>
      </w:pPr>
      <w:r w:rsidRPr="008E278A">
        <w:rPr>
          <w:color w:val="auto"/>
        </w:rPr>
        <w:t>VET Curriculum Update</w:t>
      </w:r>
      <w:r w:rsidR="00F903BD">
        <w:rPr>
          <w:color w:val="auto"/>
        </w:rPr>
        <w:t xml:space="preserve"> </w:t>
      </w:r>
    </w:p>
    <w:p w:rsidR="00342C3D" w:rsidRPr="00A83427" w:rsidRDefault="008C1720" w:rsidP="00A83427">
      <w:pPr>
        <w:pStyle w:val="IntenseQuote"/>
        <w:rPr>
          <w:rStyle w:val="IntenseEmphasis"/>
          <w:b/>
          <w:bCs/>
          <w:i/>
          <w:iCs/>
          <w:color w:val="auto"/>
        </w:rPr>
      </w:pPr>
      <w:r>
        <w:rPr>
          <w:color w:val="auto"/>
        </w:rPr>
        <w:t>Issue 2 – March</w:t>
      </w:r>
      <w:r w:rsidR="00342C3D" w:rsidRPr="008E278A">
        <w:rPr>
          <w:color w:val="auto"/>
        </w:rPr>
        <w:t xml:space="preserve"> 2012 </w:t>
      </w:r>
    </w:p>
    <w:p w:rsidR="00614DE5" w:rsidRPr="00D82D11" w:rsidRDefault="00614DE5" w:rsidP="00614DE5">
      <w:pPr>
        <w:pStyle w:val="ListParagraph"/>
        <w:numPr>
          <w:ilvl w:val="0"/>
          <w:numId w:val="2"/>
        </w:numPr>
        <w:spacing w:before="100" w:beforeAutospacing="1" w:after="150" w:line="312" w:lineRule="atLeast"/>
        <w:outlineLvl w:val="0"/>
        <w:rPr>
          <w:b/>
          <w:bCs/>
          <w:kern w:val="36"/>
        </w:rPr>
      </w:pPr>
      <w:r w:rsidRPr="00D82D11">
        <w:rPr>
          <w:b/>
          <w:bCs/>
          <w:kern w:val="36"/>
        </w:rPr>
        <w:t>ASQA information sessions</w:t>
      </w:r>
    </w:p>
    <w:p w:rsidR="00614DE5" w:rsidRPr="00D82D11" w:rsidRDefault="00614DE5" w:rsidP="00D82D11">
      <w:pPr>
        <w:spacing w:before="100" w:beforeAutospacing="1" w:after="100" w:afterAutospacing="1" w:line="240" w:lineRule="atLeast"/>
        <w:jc w:val="both"/>
      </w:pPr>
      <w:r w:rsidRPr="00D82D11">
        <w:t>ASQA will be holding information sessions in major cities across Australia in the first half of 2012.</w:t>
      </w:r>
    </w:p>
    <w:p w:rsidR="00614DE5" w:rsidRPr="00D82D11" w:rsidRDefault="00614DE5" w:rsidP="00D82D11">
      <w:pPr>
        <w:spacing w:before="100" w:beforeAutospacing="1" w:after="100" w:afterAutospacing="1" w:line="240" w:lineRule="atLeast"/>
        <w:jc w:val="both"/>
      </w:pPr>
      <w:r w:rsidRPr="00D82D11">
        <w:t>These will provide an opportunity for training providers and course owners to hear from the Commissioners about ASQA’s regulatory approach, essential ASQA processes, transition arrangements and local VET issues. Please note that ASQA will not be providing attendees with formal recognition of participation.</w:t>
      </w:r>
    </w:p>
    <w:p w:rsidR="00D82D11" w:rsidRDefault="00614DE5" w:rsidP="00D82D11">
      <w:pPr>
        <w:spacing w:before="100" w:beforeAutospacing="1" w:after="100" w:afterAutospacing="1" w:line="240" w:lineRule="atLeast"/>
        <w:jc w:val="both"/>
        <w:rPr>
          <w:b/>
          <w:bCs/>
        </w:rPr>
      </w:pPr>
      <w:r w:rsidRPr="00D82D11">
        <w:rPr>
          <w:b/>
          <w:bCs/>
        </w:rPr>
        <w:t xml:space="preserve">Currently, places are only available at sessions in the Australian Capital Territory, Western Australia and Tasmania. </w:t>
      </w:r>
    </w:p>
    <w:p w:rsidR="00614DE5" w:rsidRPr="00D82D11" w:rsidRDefault="00614DE5" w:rsidP="00D82D11">
      <w:pPr>
        <w:spacing w:before="100" w:beforeAutospacing="1" w:after="100" w:afterAutospacing="1" w:line="240" w:lineRule="atLeast"/>
        <w:jc w:val="both"/>
        <w:rPr>
          <w:color w:val="FF0000"/>
        </w:rPr>
      </w:pPr>
      <w:r w:rsidRPr="00D82D11">
        <w:rPr>
          <w:b/>
          <w:bCs/>
          <w:color w:val="FF0000"/>
        </w:rPr>
        <w:t>The Melbourne and Sydney information sessions are now booked out.</w:t>
      </w:r>
      <w:r w:rsidRPr="00D82D11">
        <w:rPr>
          <w:color w:val="FF0000"/>
        </w:rPr>
        <w:t xml:space="preserve"> </w:t>
      </w:r>
    </w:p>
    <w:p w:rsidR="00614DE5" w:rsidRPr="00D82D11" w:rsidRDefault="00614DE5" w:rsidP="00D82D11">
      <w:pPr>
        <w:spacing w:before="100" w:beforeAutospacing="1" w:after="100" w:afterAutospacing="1" w:line="240" w:lineRule="atLeast"/>
        <w:jc w:val="both"/>
      </w:pPr>
      <w:r w:rsidRPr="00D82D11">
        <w:rPr>
          <w:bCs/>
        </w:rPr>
        <w:t>Providers who have missed out on a place at these sessions will be able to view the presentation materials and video of the presentation online. (More sessions will also be scheduled for these cities, and other Australian capital cities, in the coming months.) ASQA RTOs and other subscribers to the </w:t>
      </w:r>
      <w:hyperlink r:id="rId5" w:tgtFrame="_blank" w:history="1">
        <w:r w:rsidRPr="00D82D11">
          <w:rPr>
            <w:bCs/>
            <w:u w:val="single"/>
          </w:rPr>
          <w:t>ASQA Update</w:t>
        </w:r>
      </w:hyperlink>
      <w:r w:rsidRPr="00D82D11">
        <w:rPr>
          <w:bCs/>
        </w:rPr>
        <w:t> will be notified when the online materials are published and when new sessions open for registration.</w:t>
      </w:r>
      <w:r w:rsidRPr="00D82D11">
        <w:t xml:space="preserve"> </w:t>
      </w:r>
    </w:p>
    <w:p w:rsidR="00614DE5" w:rsidRPr="00D82D11" w:rsidRDefault="00614DE5" w:rsidP="00D82D11">
      <w:pPr>
        <w:pStyle w:val="Heading1"/>
        <w:numPr>
          <w:ilvl w:val="0"/>
          <w:numId w:val="2"/>
        </w:numPr>
        <w:jc w:val="both"/>
        <w:rPr>
          <w:color w:val="auto"/>
          <w:sz w:val="24"/>
          <w:szCs w:val="24"/>
        </w:rPr>
      </w:pPr>
      <w:r w:rsidRPr="00D82D11">
        <w:rPr>
          <w:color w:val="auto"/>
          <w:sz w:val="24"/>
          <w:szCs w:val="24"/>
        </w:rPr>
        <w:t>ASQA Newsletter sign-up</w:t>
      </w:r>
    </w:p>
    <w:p w:rsidR="00614DE5" w:rsidRPr="00D82D11" w:rsidRDefault="00614DE5" w:rsidP="00D82D11">
      <w:pPr>
        <w:spacing w:before="100" w:beforeAutospacing="1" w:after="100" w:afterAutospacing="1" w:line="240" w:lineRule="atLeast"/>
        <w:jc w:val="both"/>
      </w:pPr>
      <w:r w:rsidRPr="00D82D11">
        <w:t>Sign up for regular updates about ASQA</w:t>
      </w:r>
    </w:p>
    <w:p w:rsidR="00614DE5" w:rsidRPr="00D82D11" w:rsidRDefault="00894FD3" w:rsidP="00D82D11">
      <w:pPr>
        <w:spacing w:before="100" w:beforeAutospacing="1" w:after="100" w:afterAutospacing="1" w:line="240" w:lineRule="atLeast"/>
        <w:jc w:val="both"/>
      </w:pPr>
      <w:hyperlink r:id="rId6" w:history="1">
        <w:r w:rsidR="00614DE5" w:rsidRPr="00D82D11">
          <w:rPr>
            <w:rStyle w:val="Hyperlink"/>
            <w:color w:val="auto"/>
          </w:rPr>
          <w:t>http://www.asqa.gov.au/media-and-publications/newsletter-sign-up.html</w:t>
        </w:r>
      </w:hyperlink>
    </w:p>
    <w:p w:rsidR="00342C3D" w:rsidRDefault="00D82D11" w:rsidP="00D82D11">
      <w:pPr>
        <w:pStyle w:val="ListParagraph"/>
        <w:numPr>
          <w:ilvl w:val="0"/>
          <w:numId w:val="2"/>
        </w:numPr>
        <w:jc w:val="both"/>
        <w:rPr>
          <w:rStyle w:val="IntenseEmphasis"/>
          <w:i w:val="0"/>
          <w:color w:val="auto"/>
        </w:rPr>
      </w:pPr>
      <w:r w:rsidRPr="00D82D11">
        <w:rPr>
          <w:rStyle w:val="IntenseEmphasis"/>
          <w:i w:val="0"/>
          <w:color w:val="auto"/>
        </w:rPr>
        <w:t>Data Provision</w:t>
      </w:r>
      <w:r>
        <w:rPr>
          <w:rStyle w:val="IntenseEmphasis"/>
          <w:i w:val="0"/>
          <w:color w:val="auto"/>
        </w:rPr>
        <w:t xml:space="preserve"> – Competency Completion Online System (CCOS)</w:t>
      </w:r>
    </w:p>
    <w:p w:rsidR="00D82D11" w:rsidRDefault="00D82D11" w:rsidP="00D82D11">
      <w:pPr>
        <w:jc w:val="both"/>
        <w:rPr>
          <w:rStyle w:val="IntenseEmphasis"/>
          <w:i w:val="0"/>
          <w:color w:val="auto"/>
        </w:rPr>
      </w:pPr>
    </w:p>
    <w:p w:rsidR="00D82D11" w:rsidRDefault="00D82D11" w:rsidP="00D82D11">
      <w:pPr>
        <w:jc w:val="both"/>
        <w:rPr>
          <w:rStyle w:val="IntenseEmphasis"/>
          <w:b w:val="0"/>
          <w:i w:val="0"/>
          <w:color w:val="auto"/>
        </w:rPr>
      </w:pPr>
      <w:r>
        <w:rPr>
          <w:rStyle w:val="IntenseEmphasis"/>
          <w:b w:val="0"/>
          <w:i w:val="0"/>
          <w:color w:val="auto"/>
        </w:rPr>
        <w:t xml:space="preserve">Registered training organisations (RTOs) must maintain compliance with the </w:t>
      </w:r>
      <w:r w:rsidRPr="00D82D11">
        <w:rPr>
          <w:rStyle w:val="IntenseEmphasis"/>
          <w:i w:val="0"/>
          <w:color w:val="auto"/>
        </w:rPr>
        <w:t>VET Quality Framework</w:t>
      </w:r>
      <w:r>
        <w:rPr>
          <w:rStyle w:val="IntenseEmphasis"/>
          <w:b w:val="0"/>
          <w:i w:val="0"/>
          <w:color w:val="auto"/>
        </w:rPr>
        <w:t xml:space="preserve"> throughout their registration. When requested, they must provide ASQA with a range of accurate and complete data about their business and operations.</w:t>
      </w:r>
    </w:p>
    <w:p w:rsidR="00D82D11" w:rsidRDefault="00D82D11" w:rsidP="00D82D11">
      <w:pPr>
        <w:jc w:val="both"/>
        <w:rPr>
          <w:rStyle w:val="IntenseEmphasis"/>
          <w:b w:val="0"/>
          <w:i w:val="0"/>
          <w:color w:val="auto"/>
        </w:rPr>
      </w:pPr>
    </w:p>
    <w:p w:rsidR="00D82D11" w:rsidRDefault="00D82D11" w:rsidP="00D82D11">
      <w:pPr>
        <w:jc w:val="both"/>
        <w:rPr>
          <w:rStyle w:val="IntenseEmphasis"/>
          <w:b w:val="0"/>
          <w:bCs w:val="0"/>
          <w:i w:val="0"/>
          <w:iCs w:val="0"/>
          <w:color w:val="auto"/>
        </w:rPr>
      </w:pPr>
      <w:r>
        <w:rPr>
          <w:rStyle w:val="IntenseEmphasis"/>
          <w:b w:val="0"/>
          <w:i w:val="0"/>
          <w:color w:val="auto"/>
        </w:rPr>
        <w:t xml:space="preserve">The first set of reporting on the competency completion indicator is still to be submitted through the Competency Completion Online System, which is provided and administered by NCVER – see </w:t>
      </w:r>
      <w:hyperlink r:id="rId7" w:history="1">
        <w:r w:rsidRPr="0045000C">
          <w:rPr>
            <w:rStyle w:val="Hyperlink"/>
          </w:rPr>
          <w:t>http://rto.ncver.edu.au</w:t>
        </w:r>
      </w:hyperlink>
    </w:p>
    <w:p w:rsidR="00D82D11" w:rsidRDefault="00D82D11" w:rsidP="00D82D11">
      <w:pPr>
        <w:jc w:val="both"/>
        <w:rPr>
          <w:rStyle w:val="IntenseEmphasis"/>
          <w:b w:val="0"/>
          <w:bCs w:val="0"/>
          <w:i w:val="0"/>
          <w:iCs w:val="0"/>
          <w:color w:val="auto"/>
        </w:rPr>
      </w:pPr>
    </w:p>
    <w:p w:rsidR="00D82D11" w:rsidRPr="000C793C" w:rsidRDefault="00D82D11" w:rsidP="00D82D11">
      <w:pPr>
        <w:jc w:val="both"/>
        <w:rPr>
          <w:rStyle w:val="IntenseEmphasis"/>
          <w:b w:val="0"/>
          <w:i w:val="0"/>
          <w:color w:val="auto"/>
        </w:rPr>
      </w:pPr>
      <w:r w:rsidRPr="000C793C">
        <w:rPr>
          <w:b/>
          <w:bCs/>
          <w:color w:val="FF0000"/>
        </w:rPr>
        <w:t xml:space="preserve">Please note that the Competency Completion Online System (CCOS) will not be available for the entry of the 2011 training activity until the </w:t>
      </w:r>
      <w:r w:rsidRPr="000C793C">
        <w:rPr>
          <w:b/>
          <w:bCs/>
          <w:color w:val="FF0000"/>
          <w:u w:val="single"/>
        </w:rPr>
        <w:t>16 April 2012</w:t>
      </w:r>
      <w:r w:rsidRPr="000C793C">
        <w:rPr>
          <w:b/>
          <w:bCs/>
          <w:color w:val="FF0000"/>
        </w:rPr>
        <w:t xml:space="preserve"> as it is dependent on the preload from the 2011 AVETMISS collection which is not due until the end of March.</w:t>
      </w:r>
    </w:p>
    <w:p w:rsidR="00D82D11" w:rsidRDefault="00D82D11" w:rsidP="00D82D11">
      <w:pPr>
        <w:rPr>
          <w:rStyle w:val="IntenseEmphasis"/>
          <w:b w:val="0"/>
          <w:i w:val="0"/>
          <w:color w:val="auto"/>
        </w:rPr>
      </w:pPr>
    </w:p>
    <w:p w:rsidR="00487E84" w:rsidRDefault="00487E84" w:rsidP="00487E84">
      <w:pPr>
        <w:jc w:val="both"/>
        <w:rPr>
          <w:rStyle w:val="IntenseEmphasis"/>
          <w:b w:val="0"/>
          <w:i w:val="0"/>
          <w:color w:val="auto"/>
        </w:rPr>
      </w:pPr>
      <w:r>
        <w:rPr>
          <w:rStyle w:val="IntenseEmphasis"/>
          <w:b w:val="0"/>
          <w:i w:val="0"/>
          <w:color w:val="auto"/>
        </w:rPr>
        <w:t>As in previous years, y</w:t>
      </w:r>
      <w:r w:rsidRPr="008A1CFB">
        <w:rPr>
          <w:rStyle w:val="IntenseEmphasis"/>
          <w:b w:val="0"/>
          <w:i w:val="0"/>
          <w:color w:val="auto"/>
        </w:rPr>
        <w:t>our competency completion data will be pre-populated into CCOS by the NCVER.  You will then need to log on to the CCOS</w:t>
      </w:r>
      <w:r>
        <w:rPr>
          <w:rStyle w:val="IntenseEmphasis"/>
          <w:b w:val="0"/>
          <w:i w:val="0"/>
          <w:color w:val="auto"/>
        </w:rPr>
        <w:t xml:space="preserve"> and generate the </w:t>
      </w:r>
      <w:r>
        <w:rPr>
          <w:rStyle w:val="IntenseEmphasis"/>
          <w:b w:val="0"/>
          <w:i w:val="0"/>
          <w:color w:val="auto"/>
        </w:rPr>
        <w:lastRenderedPageBreak/>
        <w:t xml:space="preserve">required reports. Each RTO is required to verify the accuracy of the reported data.  It is recommended that the reports are sent to VEIS for review </w:t>
      </w:r>
      <w:r w:rsidRPr="00FB272E">
        <w:rPr>
          <w:rStyle w:val="IntenseEmphasis"/>
          <w:b w:val="0"/>
          <w:i w:val="0"/>
          <w:color w:val="auto"/>
        </w:rPr>
        <w:t>before submitting the reports to the registering body.</w:t>
      </w:r>
      <w:r>
        <w:rPr>
          <w:rStyle w:val="IntenseEmphasis"/>
          <w:b w:val="0"/>
          <w:i w:val="0"/>
          <w:color w:val="auto"/>
        </w:rPr>
        <w:t xml:space="preserve"> </w:t>
      </w:r>
    </w:p>
    <w:p w:rsidR="00DE6AAE" w:rsidRDefault="00DE6AAE" w:rsidP="00487E84">
      <w:pPr>
        <w:jc w:val="both"/>
        <w:rPr>
          <w:rStyle w:val="IntenseEmphasis"/>
          <w:b w:val="0"/>
          <w:i w:val="0"/>
          <w:color w:val="auto"/>
        </w:rPr>
      </w:pPr>
    </w:p>
    <w:p w:rsidR="00DE6AAE" w:rsidRPr="00DE6AAE" w:rsidRDefault="00DE6AAE" w:rsidP="00487E84">
      <w:pPr>
        <w:jc w:val="both"/>
        <w:rPr>
          <w:rStyle w:val="IntenseEmphasis"/>
          <w:i w:val="0"/>
          <w:color w:val="auto"/>
        </w:rPr>
      </w:pPr>
      <w:r w:rsidRPr="00DE6AAE">
        <w:rPr>
          <w:rStyle w:val="IntenseEmphasis"/>
          <w:i w:val="0"/>
          <w:color w:val="auto"/>
        </w:rPr>
        <w:t>The CCOS data is due to 30/6/2012.</w:t>
      </w:r>
    </w:p>
    <w:p w:rsidR="00D82D11" w:rsidRDefault="00D82D11" w:rsidP="00D82D11">
      <w:pPr>
        <w:rPr>
          <w:rStyle w:val="IntenseEmphasis"/>
          <w:b w:val="0"/>
          <w:i w:val="0"/>
          <w:color w:val="auto"/>
        </w:rPr>
      </w:pPr>
    </w:p>
    <w:p w:rsidR="00D82D11" w:rsidRPr="00915AEB" w:rsidRDefault="00D82D11" w:rsidP="00E904AB">
      <w:pPr>
        <w:jc w:val="both"/>
        <w:rPr>
          <w:rStyle w:val="IntenseEmphasis"/>
          <w:i w:val="0"/>
          <w:color w:val="FF0000"/>
        </w:rPr>
      </w:pPr>
      <w:r>
        <w:rPr>
          <w:rStyle w:val="IntenseEmphasis"/>
          <w:b w:val="0"/>
          <w:i w:val="0"/>
          <w:color w:val="auto"/>
        </w:rPr>
        <w:t xml:space="preserve">RTOs are </w:t>
      </w:r>
      <w:r w:rsidR="00915AEB">
        <w:rPr>
          <w:rStyle w:val="IntenseEmphasis"/>
          <w:b w:val="0"/>
          <w:i w:val="0"/>
          <w:color w:val="auto"/>
        </w:rPr>
        <w:t xml:space="preserve">also </w:t>
      </w:r>
      <w:r>
        <w:rPr>
          <w:rStyle w:val="IntenseEmphasis"/>
          <w:b w:val="0"/>
          <w:i w:val="0"/>
          <w:color w:val="auto"/>
        </w:rPr>
        <w:t xml:space="preserve">required to provide annual summary reports on quality indicator data about client satisfaction and students’ attainment of competencies </w:t>
      </w:r>
      <w:r w:rsidRPr="00915AEB">
        <w:rPr>
          <w:rStyle w:val="IntenseEmphasis"/>
          <w:i w:val="0"/>
          <w:color w:val="FF0000"/>
        </w:rPr>
        <w:t>(information provided in the previous Issue 1 – February 2012).</w:t>
      </w:r>
    </w:p>
    <w:p w:rsidR="00D82D11" w:rsidRDefault="00D82D11" w:rsidP="00E904AB">
      <w:pPr>
        <w:jc w:val="both"/>
        <w:rPr>
          <w:rStyle w:val="IntenseEmphasis"/>
          <w:b w:val="0"/>
          <w:i w:val="0"/>
          <w:color w:val="auto"/>
        </w:rPr>
      </w:pPr>
    </w:p>
    <w:p w:rsidR="00D82D11" w:rsidRDefault="00915AEB" w:rsidP="00E904AB">
      <w:pPr>
        <w:pStyle w:val="ListParagraph"/>
        <w:numPr>
          <w:ilvl w:val="0"/>
          <w:numId w:val="2"/>
        </w:numPr>
        <w:jc w:val="both"/>
        <w:rPr>
          <w:rStyle w:val="IntenseEmphasis"/>
          <w:i w:val="0"/>
          <w:color w:val="auto"/>
        </w:rPr>
      </w:pPr>
      <w:r w:rsidRPr="00915AEB">
        <w:rPr>
          <w:rStyle w:val="IntenseEmphasis"/>
          <w:i w:val="0"/>
          <w:color w:val="auto"/>
        </w:rPr>
        <w:t xml:space="preserve">Critical </w:t>
      </w:r>
      <w:r w:rsidR="00047555">
        <w:rPr>
          <w:rStyle w:val="IntenseEmphasis"/>
          <w:i w:val="0"/>
          <w:color w:val="auto"/>
        </w:rPr>
        <w:t xml:space="preserve">VET </w:t>
      </w:r>
      <w:r w:rsidRPr="00915AEB">
        <w:rPr>
          <w:rStyle w:val="IntenseEmphasis"/>
          <w:i w:val="0"/>
          <w:color w:val="auto"/>
        </w:rPr>
        <w:t xml:space="preserve">Dates for </w:t>
      </w:r>
      <w:r w:rsidR="00047555">
        <w:rPr>
          <w:rStyle w:val="IntenseEmphasis"/>
          <w:i w:val="0"/>
          <w:color w:val="auto"/>
        </w:rPr>
        <w:t>Schools/</w:t>
      </w:r>
      <w:r w:rsidRPr="00915AEB">
        <w:rPr>
          <w:rStyle w:val="IntenseEmphasis"/>
          <w:i w:val="0"/>
          <w:color w:val="auto"/>
        </w:rPr>
        <w:t>RTOs 2012</w:t>
      </w:r>
    </w:p>
    <w:p w:rsidR="00915AEB" w:rsidRDefault="00915AEB" w:rsidP="00E904AB">
      <w:pPr>
        <w:jc w:val="both"/>
        <w:rPr>
          <w:rStyle w:val="IntenseEmphasis"/>
          <w:i w:val="0"/>
          <w:color w:val="auto"/>
        </w:rPr>
      </w:pPr>
    </w:p>
    <w:p w:rsidR="00391255" w:rsidRDefault="005F017B" w:rsidP="00E904AB">
      <w:pPr>
        <w:jc w:val="both"/>
        <w:rPr>
          <w:rStyle w:val="IntenseEmphasis"/>
          <w:b w:val="0"/>
          <w:i w:val="0"/>
          <w:color w:val="auto"/>
        </w:rPr>
      </w:pPr>
      <w:r>
        <w:rPr>
          <w:rStyle w:val="IntenseEmphasis"/>
          <w:b w:val="0"/>
          <w:i w:val="0"/>
          <w:color w:val="auto"/>
        </w:rPr>
        <w:t>The Directorate is cur</w:t>
      </w:r>
      <w:r w:rsidR="00D00BAE">
        <w:rPr>
          <w:rStyle w:val="IntenseEmphasis"/>
          <w:b w:val="0"/>
          <w:i w:val="0"/>
          <w:color w:val="auto"/>
        </w:rPr>
        <w:t>rently working on a web-based</w:t>
      </w:r>
      <w:r>
        <w:rPr>
          <w:rStyle w:val="IntenseEmphasis"/>
          <w:b w:val="0"/>
          <w:i w:val="0"/>
          <w:color w:val="auto"/>
        </w:rPr>
        <w:t xml:space="preserve"> calendar for schools and RTOs to use in relation to flagging critical dates </w:t>
      </w:r>
      <w:r w:rsidR="00D00BAE">
        <w:rPr>
          <w:rStyle w:val="IntenseEmphasis"/>
          <w:b w:val="0"/>
          <w:i w:val="0"/>
          <w:color w:val="auto"/>
        </w:rPr>
        <w:t>for schools and RTOs. Hopefully we will have this ready very soon for everyone to access and provide feedback.</w:t>
      </w:r>
    </w:p>
    <w:p w:rsidR="005F017B" w:rsidRDefault="005F017B" w:rsidP="00E904AB">
      <w:pPr>
        <w:jc w:val="both"/>
        <w:rPr>
          <w:rStyle w:val="IntenseEmphasis"/>
          <w:b w:val="0"/>
          <w:i w:val="0"/>
          <w:color w:val="auto"/>
        </w:rPr>
      </w:pPr>
    </w:p>
    <w:p w:rsidR="00047555" w:rsidRPr="00047555" w:rsidRDefault="00391255" w:rsidP="00047555">
      <w:pPr>
        <w:pStyle w:val="ListParagraph"/>
        <w:numPr>
          <w:ilvl w:val="0"/>
          <w:numId w:val="2"/>
        </w:numPr>
        <w:jc w:val="both"/>
        <w:rPr>
          <w:rStyle w:val="IntenseEmphasis"/>
          <w:i w:val="0"/>
          <w:color w:val="auto"/>
        </w:rPr>
      </w:pPr>
      <w:r w:rsidRPr="00047555">
        <w:rPr>
          <w:rStyle w:val="IntenseEmphasis"/>
          <w:i w:val="0"/>
          <w:color w:val="auto"/>
        </w:rPr>
        <w:t>RTO registration expiry dates</w:t>
      </w:r>
      <w:r w:rsidR="00047555" w:rsidRPr="00047555">
        <w:rPr>
          <w:rStyle w:val="IntenseEmphasis"/>
          <w:i w:val="0"/>
          <w:color w:val="auto"/>
        </w:rPr>
        <w:t xml:space="preserve"> </w:t>
      </w:r>
    </w:p>
    <w:p w:rsidR="00047555" w:rsidRDefault="00047555" w:rsidP="00047555">
      <w:pPr>
        <w:jc w:val="both"/>
        <w:rPr>
          <w:rStyle w:val="IntenseEmphasis"/>
          <w:b w:val="0"/>
          <w:i w:val="0"/>
          <w:color w:val="auto"/>
        </w:rPr>
      </w:pPr>
    </w:p>
    <w:p w:rsidR="005F017B" w:rsidRDefault="005F017B" w:rsidP="00047555">
      <w:pPr>
        <w:jc w:val="both"/>
        <w:rPr>
          <w:rStyle w:val="IntenseEmphasis"/>
          <w:b w:val="0"/>
          <w:i w:val="0"/>
          <w:color w:val="auto"/>
        </w:rPr>
      </w:pPr>
      <w:r>
        <w:rPr>
          <w:rStyle w:val="IntenseEmphasis"/>
          <w:b w:val="0"/>
          <w:i w:val="0"/>
          <w:color w:val="auto"/>
        </w:rPr>
        <w:t xml:space="preserve">Something for RTOs to be aware </w:t>
      </w:r>
      <w:r w:rsidR="00D00BAE">
        <w:rPr>
          <w:rStyle w:val="IntenseEmphasis"/>
          <w:b w:val="0"/>
          <w:i w:val="0"/>
          <w:color w:val="auto"/>
        </w:rPr>
        <w:t xml:space="preserve">of is the ASQA registration obligations for RTOs in relation to renewing registration. </w:t>
      </w:r>
    </w:p>
    <w:p w:rsidR="005F017B" w:rsidRDefault="005F017B" w:rsidP="00047555">
      <w:pPr>
        <w:jc w:val="both"/>
        <w:rPr>
          <w:rStyle w:val="IntenseEmphasis"/>
          <w:b w:val="0"/>
          <w:i w:val="0"/>
          <w:color w:val="auto"/>
        </w:rPr>
      </w:pPr>
    </w:p>
    <w:p w:rsidR="00391255" w:rsidRPr="00047555" w:rsidRDefault="00047555" w:rsidP="00047555">
      <w:pPr>
        <w:jc w:val="both"/>
        <w:rPr>
          <w:rStyle w:val="IntenseEmphasis"/>
          <w:b w:val="0"/>
          <w:i w:val="0"/>
          <w:color w:val="auto"/>
        </w:rPr>
      </w:pPr>
      <w:r>
        <w:rPr>
          <w:rStyle w:val="IntenseEmphasis"/>
          <w:b w:val="0"/>
          <w:i w:val="0"/>
          <w:color w:val="auto"/>
        </w:rPr>
        <w:t>A</w:t>
      </w:r>
      <w:r w:rsidR="00391255" w:rsidRPr="00047555">
        <w:rPr>
          <w:rStyle w:val="IntenseEmphasis"/>
          <w:b w:val="0"/>
          <w:i w:val="0"/>
          <w:color w:val="auto"/>
        </w:rPr>
        <w:t xml:space="preserve">pplications to </w:t>
      </w:r>
      <w:r w:rsidR="00391255" w:rsidRPr="00047555">
        <w:rPr>
          <w:rStyle w:val="IntenseEmphasis"/>
          <w:i w:val="0"/>
          <w:color w:val="auto"/>
        </w:rPr>
        <w:t>Renew Registration</w:t>
      </w:r>
      <w:r w:rsidR="00391255" w:rsidRPr="00047555">
        <w:rPr>
          <w:rStyle w:val="IntenseEmphasis"/>
          <w:b w:val="0"/>
          <w:i w:val="0"/>
          <w:color w:val="auto"/>
        </w:rPr>
        <w:t xml:space="preserve"> are due</w:t>
      </w:r>
      <w:r>
        <w:rPr>
          <w:rStyle w:val="IntenseEmphasis"/>
          <w:b w:val="0"/>
          <w:i w:val="0"/>
          <w:color w:val="auto"/>
        </w:rPr>
        <w:t xml:space="preserve"> to ASQA </w:t>
      </w:r>
      <w:r w:rsidRPr="00D00BAE">
        <w:rPr>
          <w:rStyle w:val="IntenseEmphasis"/>
          <w:i w:val="0"/>
          <w:color w:val="auto"/>
        </w:rPr>
        <w:t>90 days prior</w:t>
      </w:r>
      <w:r>
        <w:rPr>
          <w:rStyle w:val="IntenseEmphasis"/>
          <w:b w:val="0"/>
          <w:i w:val="0"/>
          <w:color w:val="auto"/>
        </w:rPr>
        <w:t xml:space="preserve"> to the expiry date.</w:t>
      </w:r>
    </w:p>
    <w:p w:rsidR="00391255" w:rsidRDefault="00391255" w:rsidP="00E904AB">
      <w:pPr>
        <w:jc w:val="both"/>
        <w:rPr>
          <w:rStyle w:val="IntenseEmphasis"/>
          <w:b w:val="0"/>
          <w:i w:val="0"/>
          <w:color w:val="auto"/>
        </w:rPr>
      </w:pPr>
    </w:p>
    <w:p w:rsidR="00391255" w:rsidRDefault="00391255" w:rsidP="00E904AB">
      <w:pPr>
        <w:jc w:val="both"/>
        <w:rPr>
          <w:rStyle w:val="IntenseEmphasis"/>
          <w:b w:val="0"/>
          <w:i w:val="0"/>
          <w:color w:val="auto"/>
        </w:rPr>
      </w:pPr>
      <w:r>
        <w:rPr>
          <w:rStyle w:val="IntenseEmphasis"/>
          <w:b w:val="0"/>
          <w:i w:val="0"/>
          <w:color w:val="auto"/>
        </w:rPr>
        <w:t>There are 5 DEC Regional RTOs that have 2013 expiry dates with the remaining 5 expiring in 2014.</w:t>
      </w:r>
    </w:p>
    <w:p w:rsidR="00D00BAE" w:rsidRDefault="00D00BAE" w:rsidP="00E904AB">
      <w:pPr>
        <w:jc w:val="both"/>
        <w:rPr>
          <w:rStyle w:val="IntenseEmphasis"/>
          <w:b w:val="0"/>
          <w:i w:val="0"/>
          <w:color w:val="auto"/>
        </w:rPr>
      </w:pPr>
    </w:p>
    <w:p w:rsidR="00D00BAE" w:rsidRDefault="00D00BAE" w:rsidP="00E904AB">
      <w:pPr>
        <w:jc w:val="both"/>
        <w:rPr>
          <w:rStyle w:val="IntenseEmphasis"/>
          <w:b w:val="0"/>
          <w:i w:val="0"/>
          <w:color w:val="auto"/>
        </w:rPr>
      </w:pPr>
      <w:r>
        <w:rPr>
          <w:rStyle w:val="IntenseEmphasis"/>
          <w:b w:val="0"/>
          <w:i w:val="0"/>
          <w:color w:val="auto"/>
        </w:rPr>
        <w:t>See table below for dates of expiry and due dates for application renewal.</w:t>
      </w:r>
    </w:p>
    <w:p w:rsidR="00D00BAE" w:rsidRDefault="00D00BAE" w:rsidP="00E904AB">
      <w:pPr>
        <w:jc w:val="both"/>
        <w:rPr>
          <w:rStyle w:val="IntenseEmphasis"/>
          <w:b w:val="0"/>
          <w:i w:val="0"/>
          <w:color w:val="auto"/>
        </w:rPr>
      </w:pPr>
    </w:p>
    <w:tbl>
      <w:tblPr>
        <w:tblW w:w="7812" w:type="dxa"/>
        <w:tblInd w:w="93" w:type="dxa"/>
        <w:tblLook w:val="04A0"/>
      </w:tblPr>
      <w:tblGrid>
        <w:gridCol w:w="3417"/>
        <w:gridCol w:w="2410"/>
        <w:gridCol w:w="1985"/>
      </w:tblGrid>
      <w:tr w:rsidR="00D00BAE" w:rsidRPr="00D00BAE" w:rsidTr="00D00BAE">
        <w:trPr>
          <w:trHeight w:val="1886"/>
        </w:trPr>
        <w:tc>
          <w:tcPr>
            <w:tcW w:w="3417" w:type="dxa"/>
            <w:tcBorders>
              <w:top w:val="single" w:sz="8" w:space="0" w:color="auto"/>
              <w:left w:val="single" w:sz="8" w:space="0" w:color="auto"/>
              <w:bottom w:val="single" w:sz="8" w:space="0" w:color="auto"/>
              <w:right w:val="single" w:sz="8" w:space="0" w:color="auto"/>
            </w:tcBorders>
            <w:shd w:val="clear" w:color="auto" w:fill="auto"/>
            <w:hideMark/>
          </w:tcPr>
          <w:p w:rsidR="00D00BAE" w:rsidRPr="00D00BAE" w:rsidRDefault="00D00BAE" w:rsidP="00D00BAE">
            <w:pPr>
              <w:jc w:val="center"/>
              <w:rPr>
                <w:b/>
                <w:bCs/>
                <w:color w:val="000000"/>
              </w:rPr>
            </w:pPr>
            <w:r w:rsidRPr="00D00BAE">
              <w:rPr>
                <w:b/>
                <w:bCs/>
                <w:color w:val="000000"/>
              </w:rPr>
              <w:t>DEC Regional RTO</w:t>
            </w:r>
          </w:p>
        </w:tc>
        <w:tc>
          <w:tcPr>
            <w:tcW w:w="2410" w:type="dxa"/>
            <w:tcBorders>
              <w:top w:val="single" w:sz="8" w:space="0" w:color="auto"/>
              <w:left w:val="nil"/>
              <w:bottom w:val="single" w:sz="8" w:space="0" w:color="auto"/>
              <w:right w:val="single" w:sz="8" w:space="0" w:color="auto"/>
            </w:tcBorders>
            <w:shd w:val="clear" w:color="auto" w:fill="auto"/>
            <w:hideMark/>
          </w:tcPr>
          <w:p w:rsidR="00D00BAE" w:rsidRPr="00D00BAE" w:rsidRDefault="00D00BAE" w:rsidP="00D00BAE">
            <w:pPr>
              <w:jc w:val="center"/>
              <w:rPr>
                <w:b/>
                <w:bCs/>
                <w:color w:val="000000"/>
              </w:rPr>
            </w:pPr>
            <w:r w:rsidRPr="00D00BAE">
              <w:rPr>
                <w:b/>
                <w:bCs/>
                <w:color w:val="000000"/>
              </w:rPr>
              <w:t>ASQA Registration Expiry</w:t>
            </w:r>
          </w:p>
        </w:tc>
        <w:tc>
          <w:tcPr>
            <w:tcW w:w="1985" w:type="dxa"/>
            <w:tcBorders>
              <w:top w:val="single" w:sz="8" w:space="0" w:color="auto"/>
              <w:left w:val="nil"/>
              <w:bottom w:val="single" w:sz="8" w:space="0" w:color="auto"/>
              <w:right w:val="single" w:sz="8" w:space="0" w:color="auto"/>
            </w:tcBorders>
            <w:shd w:val="clear" w:color="auto" w:fill="auto"/>
            <w:hideMark/>
          </w:tcPr>
          <w:p w:rsidR="00D00BAE" w:rsidRPr="00D00BAE" w:rsidRDefault="00D00BAE" w:rsidP="00D00BAE">
            <w:pPr>
              <w:jc w:val="center"/>
              <w:rPr>
                <w:b/>
                <w:bCs/>
                <w:color w:val="000000"/>
              </w:rPr>
            </w:pPr>
            <w:r w:rsidRPr="00D00BAE">
              <w:rPr>
                <w:b/>
                <w:bCs/>
                <w:color w:val="000000"/>
              </w:rPr>
              <w:t>ASQA Application to Renew Registration Due (90 days prior to expiry date)</w:t>
            </w:r>
          </w:p>
        </w:tc>
      </w:tr>
      <w:tr w:rsidR="00D00BAE" w:rsidRPr="00D00BAE" w:rsidTr="00D00BAE">
        <w:trPr>
          <w:trHeight w:val="330"/>
        </w:trPr>
        <w:tc>
          <w:tcPr>
            <w:tcW w:w="3417" w:type="dxa"/>
            <w:tcBorders>
              <w:top w:val="nil"/>
              <w:left w:val="single" w:sz="8" w:space="0" w:color="auto"/>
              <w:bottom w:val="single" w:sz="8" w:space="0" w:color="auto"/>
              <w:right w:val="single" w:sz="8" w:space="0" w:color="auto"/>
            </w:tcBorders>
            <w:shd w:val="clear" w:color="auto" w:fill="auto"/>
            <w:hideMark/>
          </w:tcPr>
          <w:p w:rsidR="00D00BAE" w:rsidRPr="00D00BAE" w:rsidRDefault="00D00BAE" w:rsidP="00D00BAE">
            <w:pPr>
              <w:rPr>
                <w:b/>
                <w:bCs/>
                <w:color w:val="000000"/>
              </w:rPr>
            </w:pPr>
            <w:r w:rsidRPr="00D00BAE">
              <w:rPr>
                <w:b/>
                <w:bCs/>
                <w:color w:val="000000"/>
              </w:rPr>
              <w:t>North Coast</w:t>
            </w:r>
          </w:p>
        </w:tc>
        <w:tc>
          <w:tcPr>
            <w:tcW w:w="2410" w:type="dxa"/>
            <w:tcBorders>
              <w:top w:val="nil"/>
              <w:left w:val="nil"/>
              <w:bottom w:val="single" w:sz="8" w:space="0" w:color="auto"/>
              <w:right w:val="single" w:sz="8" w:space="0" w:color="auto"/>
            </w:tcBorders>
            <w:shd w:val="clear" w:color="auto" w:fill="auto"/>
            <w:hideMark/>
          </w:tcPr>
          <w:p w:rsidR="00D00BAE" w:rsidRPr="00D00BAE" w:rsidRDefault="00D00BAE" w:rsidP="00D00BAE">
            <w:pPr>
              <w:jc w:val="right"/>
              <w:rPr>
                <w:color w:val="000000"/>
              </w:rPr>
            </w:pPr>
            <w:r w:rsidRPr="00D00BAE">
              <w:rPr>
                <w:color w:val="000000"/>
              </w:rPr>
              <w:t>11/07/2013</w:t>
            </w:r>
          </w:p>
        </w:tc>
        <w:tc>
          <w:tcPr>
            <w:tcW w:w="1985" w:type="dxa"/>
            <w:tcBorders>
              <w:top w:val="nil"/>
              <w:left w:val="nil"/>
              <w:bottom w:val="single" w:sz="8" w:space="0" w:color="auto"/>
              <w:right w:val="single" w:sz="8" w:space="0" w:color="auto"/>
            </w:tcBorders>
            <w:shd w:val="clear" w:color="auto" w:fill="auto"/>
            <w:hideMark/>
          </w:tcPr>
          <w:p w:rsidR="00D00BAE" w:rsidRPr="00D00BAE" w:rsidRDefault="00D00BAE" w:rsidP="00D00BAE">
            <w:pPr>
              <w:jc w:val="right"/>
              <w:rPr>
                <w:color w:val="000000"/>
              </w:rPr>
            </w:pPr>
            <w:r w:rsidRPr="00D00BAE">
              <w:rPr>
                <w:color w:val="000000"/>
              </w:rPr>
              <w:t>12/04/2013</w:t>
            </w:r>
          </w:p>
        </w:tc>
      </w:tr>
      <w:tr w:rsidR="00D00BAE" w:rsidRPr="00D00BAE" w:rsidTr="00D00BAE">
        <w:trPr>
          <w:trHeight w:val="330"/>
        </w:trPr>
        <w:tc>
          <w:tcPr>
            <w:tcW w:w="3417" w:type="dxa"/>
            <w:tcBorders>
              <w:top w:val="nil"/>
              <w:left w:val="single" w:sz="8" w:space="0" w:color="auto"/>
              <w:bottom w:val="single" w:sz="8" w:space="0" w:color="auto"/>
              <w:right w:val="single" w:sz="8" w:space="0" w:color="auto"/>
            </w:tcBorders>
            <w:shd w:val="clear" w:color="auto" w:fill="auto"/>
            <w:hideMark/>
          </w:tcPr>
          <w:p w:rsidR="00D00BAE" w:rsidRPr="00D00BAE" w:rsidRDefault="00D00BAE" w:rsidP="00D00BAE">
            <w:pPr>
              <w:rPr>
                <w:b/>
                <w:bCs/>
                <w:color w:val="000000"/>
              </w:rPr>
            </w:pPr>
            <w:r w:rsidRPr="00D00BAE">
              <w:rPr>
                <w:b/>
                <w:bCs/>
                <w:color w:val="000000"/>
              </w:rPr>
              <w:t>South Western Sydney</w:t>
            </w:r>
          </w:p>
        </w:tc>
        <w:tc>
          <w:tcPr>
            <w:tcW w:w="2410" w:type="dxa"/>
            <w:tcBorders>
              <w:top w:val="nil"/>
              <w:left w:val="nil"/>
              <w:bottom w:val="single" w:sz="8" w:space="0" w:color="auto"/>
              <w:right w:val="single" w:sz="8" w:space="0" w:color="auto"/>
            </w:tcBorders>
            <w:shd w:val="clear" w:color="auto" w:fill="auto"/>
            <w:hideMark/>
          </w:tcPr>
          <w:p w:rsidR="00D00BAE" w:rsidRPr="00D00BAE" w:rsidRDefault="00D00BAE" w:rsidP="00D00BAE">
            <w:pPr>
              <w:jc w:val="right"/>
              <w:rPr>
                <w:color w:val="000000"/>
              </w:rPr>
            </w:pPr>
            <w:r w:rsidRPr="00D00BAE">
              <w:rPr>
                <w:color w:val="000000"/>
              </w:rPr>
              <w:t>29/08/2013</w:t>
            </w:r>
          </w:p>
        </w:tc>
        <w:tc>
          <w:tcPr>
            <w:tcW w:w="1985" w:type="dxa"/>
            <w:tcBorders>
              <w:top w:val="nil"/>
              <w:left w:val="nil"/>
              <w:bottom w:val="single" w:sz="8" w:space="0" w:color="auto"/>
              <w:right w:val="single" w:sz="8" w:space="0" w:color="auto"/>
            </w:tcBorders>
            <w:shd w:val="clear" w:color="auto" w:fill="auto"/>
            <w:hideMark/>
          </w:tcPr>
          <w:p w:rsidR="00D00BAE" w:rsidRPr="00D00BAE" w:rsidRDefault="00D00BAE" w:rsidP="00D00BAE">
            <w:pPr>
              <w:jc w:val="right"/>
              <w:rPr>
                <w:color w:val="000000"/>
              </w:rPr>
            </w:pPr>
            <w:r w:rsidRPr="00D00BAE">
              <w:rPr>
                <w:color w:val="000000"/>
              </w:rPr>
              <w:t>31/05/2013</w:t>
            </w:r>
          </w:p>
        </w:tc>
      </w:tr>
      <w:tr w:rsidR="00D00BAE" w:rsidRPr="00D00BAE" w:rsidTr="00D00BAE">
        <w:trPr>
          <w:trHeight w:val="330"/>
        </w:trPr>
        <w:tc>
          <w:tcPr>
            <w:tcW w:w="3417" w:type="dxa"/>
            <w:tcBorders>
              <w:top w:val="nil"/>
              <w:left w:val="single" w:sz="8" w:space="0" w:color="auto"/>
              <w:bottom w:val="single" w:sz="8" w:space="0" w:color="auto"/>
              <w:right w:val="single" w:sz="8" w:space="0" w:color="auto"/>
            </w:tcBorders>
            <w:shd w:val="clear" w:color="auto" w:fill="auto"/>
            <w:hideMark/>
          </w:tcPr>
          <w:p w:rsidR="00D00BAE" w:rsidRPr="00D00BAE" w:rsidRDefault="00D00BAE" w:rsidP="00D00BAE">
            <w:pPr>
              <w:rPr>
                <w:b/>
                <w:bCs/>
                <w:color w:val="000000"/>
              </w:rPr>
            </w:pPr>
            <w:r w:rsidRPr="00D00BAE">
              <w:rPr>
                <w:b/>
                <w:bCs/>
                <w:color w:val="000000"/>
              </w:rPr>
              <w:t>Hunter/Central Coast</w:t>
            </w:r>
          </w:p>
        </w:tc>
        <w:tc>
          <w:tcPr>
            <w:tcW w:w="2410" w:type="dxa"/>
            <w:tcBorders>
              <w:top w:val="nil"/>
              <w:left w:val="nil"/>
              <w:bottom w:val="single" w:sz="8" w:space="0" w:color="auto"/>
              <w:right w:val="single" w:sz="8" w:space="0" w:color="auto"/>
            </w:tcBorders>
            <w:shd w:val="clear" w:color="auto" w:fill="auto"/>
            <w:hideMark/>
          </w:tcPr>
          <w:p w:rsidR="00D00BAE" w:rsidRPr="00D00BAE" w:rsidRDefault="00D00BAE" w:rsidP="00D00BAE">
            <w:pPr>
              <w:jc w:val="right"/>
              <w:rPr>
                <w:color w:val="000000"/>
              </w:rPr>
            </w:pPr>
            <w:r w:rsidRPr="00D00BAE">
              <w:rPr>
                <w:color w:val="000000"/>
              </w:rPr>
              <w:t>22/09/2013</w:t>
            </w:r>
          </w:p>
        </w:tc>
        <w:tc>
          <w:tcPr>
            <w:tcW w:w="1985" w:type="dxa"/>
            <w:tcBorders>
              <w:top w:val="nil"/>
              <w:left w:val="nil"/>
              <w:bottom w:val="single" w:sz="8" w:space="0" w:color="auto"/>
              <w:right w:val="single" w:sz="8" w:space="0" w:color="auto"/>
            </w:tcBorders>
            <w:shd w:val="clear" w:color="auto" w:fill="auto"/>
            <w:hideMark/>
          </w:tcPr>
          <w:p w:rsidR="00D00BAE" w:rsidRPr="00D00BAE" w:rsidRDefault="00D00BAE" w:rsidP="00D00BAE">
            <w:pPr>
              <w:jc w:val="right"/>
              <w:rPr>
                <w:color w:val="000000"/>
              </w:rPr>
            </w:pPr>
            <w:r w:rsidRPr="00D00BAE">
              <w:rPr>
                <w:color w:val="000000"/>
              </w:rPr>
              <w:t>24/06/2013</w:t>
            </w:r>
          </w:p>
        </w:tc>
      </w:tr>
      <w:tr w:rsidR="00D00BAE" w:rsidRPr="00D00BAE" w:rsidTr="00D00BAE">
        <w:trPr>
          <w:trHeight w:val="330"/>
        </w:trPr>
        <w:tc>
          <w:tcPr>
            <w:tcW w:w="3417" w:type="dxa"/>
            <w:tcBorders>
              <w:top w:val="nil"/>
              <w:left w:val="single" w:sz="8" w:space="0" w:color="auto"/>
              <w:bottom w:val="single" w:sz="8" w:space="0" w:color="auto"/>
              <w:right w:val="single" w:sz="8" w:space="0" w:color="auto"/>
            </w:tcBorders>
            <w:shd w:val="clear" w:color="auto" w:fill="auto"/>
            <w:hideMark/>
          </w:tcPr>
          <w:p w:rsidR="00D00BAE" w:rsidRPr="00D00BAE" w:rsidRDefault="00D00BAE" w:rsidP="00D00BAE">
            <w:pPr>
              <w:rPr>
                <w:b/>
                <w:bCs/>
                <w:color w:val="000000"/>
              </w:rPr>
            </w:pPr>
            <w:r w:rsidRPr="00D00BAE">
              <w:rPr>
                <w:b/>
                <w:bCs/>
                <w:color w:val="000000"/>
              </w:rPr>
              <w:t>New England</w:t>
            </w:r>
          </w:p>
        </w:tc>
        <w:tc>
          <w:tcPr>
            <w:tcW w:w="2410" w:type="dxa"/>
            <w:tcBorders>
              <w:top w:val="nil"/>
              <w:left w:val="nil"/>
              <w:bottom w:val="single" w:sz="8" w:space="0" w:color="auto"/>
              <w:right w:val="single" w:sz="8" w:space="0" w:color="auto"/>
            </w:tcBorders>
            <w:shd w:val="clear" w:color="auto" w:fill="auto"/>
            <w:hideMark/>
          </w:tcPr>
          <w:p w:rsidR="00D00BAE" w:rsidRPr="00D00BAE" w:rsidRDefault="00D00BAE" w:rsidP="00D00BAE">
            <w:pPr>
              <w:jc w:val="right"/>
              <w:rPr>
                <w:color w:val="000000"/>
              </w:rPr>
            </w:pPr>
            <w:r w:rsidRPr="00D00BAE">
              <w:rPr>
                <w:color w:val="000000"/>
              </w:rPr>
              <w:t>2/10/2013</w:t>
            </w:r>
          </w:p>
        </w:tc>
        <w:tc>
          <w:tcPr>
            <w:tcW w:w="1985" w:type="dxa"/>
            <w:tcBorders>
              <w:top w:val="nil"/>
              <w:left w:val="nil"/>
              <w:bottom w:val="single" w:sz="8" w:space="0" w:color="auto"/>
              <w:right w:val="single" w:sz="8" w:space="0" w:color="auto"/>
            </w:tcBorders>
            <w:shd w:val="clear" w:color="auto" w:fill="auto"/>
            <w:hideMark/>
          </w:tcPr>
          <w:p w:rsidR="00D00BAE" w:rsidRPr="00D00BAE" w:rsidRDefault="00D00BAE" w:rsidP="00D00BAE">
            <w:pPr>
              <w:jc w:val="right"/>
              <w:rPr>
                <w:color w:val="000000"/>
              </w:rPr>
            </w:pPr>
            <w:r w:rsidRPr="00D00BAE">
              <w:rPr>
                <w:color w:val="000000"/>
              </w:rPr>
              <w:t>4/07/2013</w:t>
            </w:r>
          </w:p>
        </w:tc>
      </w:tr>
      <w:tr w:rsidR="00D00BAE" w:rsidRPr="00D00BAE" w:rsidTr="00D00BAE">
        <w:trPr>
          <w:trHeight w:val="330"/>
        </w:trPr>
        <w:tc>
          <w:tcPr>
            <w:tcW w:w="3417" w:type="dxa"/>
            <w:tcBorders>
              <w:top w:val="nil"/>
              <w:left w:val="single" w:sz="8" w:space="0" w:color="auto"/>
              <w:bottom w:val="single" w:sz="8" w:space="0" w:color="auto"/>
              <w:right w:val="single" w:sz="8" w:space="0" w:color="auto"/>
            </w:tcBorders>
            <w:shd w:val="clear" w:color="auto" w:fill="auto"/>
            <w:hideMark/>
          </w:tcPr>
          <w:p w:rsidR="00D00BAE" w:rsidRPr="00D00BAE" w:rsidRDefault="00D00BAE" w:rsidP="00D00BAE">
            <w:pPr>
              <w:rPr>
                <w:b/>
                <w:bCs/>
                <w:color w:val="000000"/>
              </w:rPr>
            </w:pPr>
            <w:r w:rsidRPr="00D00BAE">
              <w:rPr>
                <w:b/>
                <w:bCs/>
                <w:color w:val="000000"/>
              </w:rPr>
              <w:t>Western Sydney</w:t>
            </w:r>
          </w:p>
        </w:tc>
        <w:tc>
          <w:tcPr>
            <w:tcW w:w="2410" w:type="dxa"/>
            <w:tcBorders>
              <w:top w:val="nil"/>
              <w:left w:val="nil"/>
              <w:bottom w:val="single" w:sz="8" w:space="0" w:color="auto"/>
              <w:right w:val="single" w:sz="8" w:space="0" w:color="auto"/>
            </w:tcBorders>
            <w:shd w:val="clear" w:color="auto" w:fill="auto"/>
            <w:hideMark/>
          </w:tcPr>
          <w:p w:rsidR="00D00BAE" w:rsidRPr="00D00BAE" w:rsidRDefault="00D00BAE" w:rsidP="00D00BAE">
            <w:pPr>
              <w:jc w:val="right"/>
              <w:rPr>
                <w:color w:val="000000"/>
              </w:rPr>
            </w:pPr>
            <w:r w:rsidRPr="00D00BAE">
              <w:rPr>
                <w:color w:val="000000"/>
              </w:rPr>
              <w:t>20/10/2013</w:t>
            </w:r>
          </w:p>
        </w:tc>
        <w:tc>
          <w:tcPr>
            <w:tcW w:w="1985" w:type="dxa"/>
            <w:tcBorders>
              <w:top w:val="nil"/>
              <w:left w:val="nil"/>
              <w:bottom w:val="single" w:sz="8" w:space="0" w:color="auto"/>
              <w:right w:val="single" w:sz="8" w:space="0" w:color="auto"/>
            </w:tcBorders>
            <w:shd w:val="clear" w:color="auto" w:fill="auto"/>
            <w:hideMark/>
          </w:tcPr>
          <w:p w:rsidR="00D00BAE" w:rsidRPr="00D00BAE" w:rsidRDefault="00D00BAE" w:rsidP="00D00BAE">
            <w:pPr>
              <w:jc w:val="right"/>
              <w:rPr>
                <w:color w:val="000000"/>
              </w:rPr>
            </w:pPr>
            <w:r w:rsidRPr="00D00BAE">
              <w:rPr>
                <w:color w:val="000000"/>
              </w:rPr>
              <w:t>22/07/2013</w:t>
            </w:r>
          </w:p>
        </w:tc>
      </w:tr>
      <w:tr w:rsidR="00D00BAE" w:rsidRPr="00D00BAE" w:rsidTr="00D00BAE">
        <w:trPr>
          <w:trHeight w:val="330"/>
        </w:trPr>
        <w:tc>
          <w:tcPr>
            <w:tcW w:w="3417" w:type="dxa"/>
            <w:tcBorders>
              <w:top w:val="nil"/>
              <w:left w:val="single" w:sz="8" w:space="0" w:color="auto"/>
              <w:bottom w:val="single" w:sz="8" w:space="0" w:color="auto"/>
              <w:right w:val="single" w:sz="8" w:space="0" w:color="auto"/>
            </w:tcBorders>
            <w:shd w:val="clear" w:color="auto" w:fill="auto"/>
            <w:hideMark/>
          </w:tcPr>
          <w:p w:rsidR="00D00BAE" w:rsidRPr="00D00BAE" w:rsidRDefault="00D00BAE" w:rsidP="00D00BAE">
            <w:pPr>
              <w:rPr>
                <w:b/>
                <w:bCs/>
                <w:color w:val="000000"/>
              </w:rPr>
            </w:pPr>
            <w:r w:rsidRPr="00D00BAE">
              <w:rPr>
                <w:b/>
                <w:bCs/>
                <w:color w:val="000000"/>
              </w:rPr>
              <w:t>Riverina</w:t>
            </w:r>
          </w:p>
        </w:tc>
        <w:tc>
          <w:tcPr>
            <w:tcW w:w="2410" w:type="dxa"/>
            <w:tcBorders>
              <w:top w:val="nil"/>
              <w:left w:val="nil"/>
              <w:bottom w:val="single" w:sz="8" w:space="0" w:color="auto"/>
              <w:right w:val="single" w:sz="8" w:space="0" w:color="auto"/>
            </w:tcBorders>
            <w:shd w:val="clear" w:color="auto" w:fill="auto"/>
            <w:hideMark/>
          </w:tcPr>
          <w:p w:rsidR="00D00BAE" w:rsidRPr="00D00BAE" w:rsidRDefault="00D00BAE" w:rsidP="00D00BAE">
            <w:pPr>
              <w:jc w:val="right"/>
              <w:rPr>
                <w:color w:val="000000"/>
              </w:rPr>
            </w:pPr>
            <w:r w:rsidRPr="00D00BAE">
              <w:rPr>
                <w:color w:val="000000"/>
              </w:rPr>
              <w:t>7/08/2014</w:t>
            </w:r>
          </w:p>
        </w:tc>
        <w:tc>
          <w:tcPr>
            <w:tcW w:w="1985" w:type="dxa"/>
            <w:tcBorders>
              <w:top w:val="nil"/>
              <w:left w:val="nil"/>
              <w:bottom w:val="single" w:sz="8" w:space="0" w:color="auto"/>
              <w:right w:val="single" w:sz="8" w:space="0" w:color="auto"/>
            </w:tcBorders>
            <w:shd w:val="clear" w:color="auto" w:fill="auto"/>
            <w:hideMark/>
          </w:tcPr>
          <w:p w:rsidR="00D00BAE" w:rsidRPr="00D00BAE" w:rsidRDefault="00D00BAE" w:rsidP="00D00BAE">
            <w:pPr>
              <w:jc w:val="right"/>
              <w:rPr>
                <w:color w:val="000000"/>
              </w:rPr>
            </w:pPr>
            <w:r w:rsidRPr="00D00BAE">
              <w:rPr>
                <w:color w:val="000000"/>
              </w:rPr>
              <w:t>9/05/2014</w:t>
            </w:r>
          </w:p>
        </w:tc>
      </w:tr>
      <w:tr w:rsidR="00D00BAE" w:rsidRPr="00D00BAE" w:rsidTr="00D00BAE">
        <w:trPr>
          <w:trHeight w:val="330"/>
        </w:trPr>
        <w:tc>
          <w:tcPr>
            <w:tcW w:w="3417" w:type="dxa"/>
            <w:tcBorders>
              <w:top w:val="nil"/>
              <w:left w:val="single" w:sz="8" w:space="0" w:color="auto"/>
              <w:bottom w:val="single" w:sz="8" w:space="0" w:color="auto"/>
              <w:right w:val="single" w:sz="8" w:space="0" w:color="auto"/>
            </w:tcBorders>
            <w:shd w:val="clear" w:color="auto" w:fill="auto"/>
            <w:hideMark/>
          </w:tcPr>
          <w:p w:rsidR="00D00BAE" w:rsidRPr="00D00BAE" w:rsidRDefault="00D00BAE" w:rsidP="00D00BAE">
            <w:pPr>
              <w:rPr>
                <w:b/>
                <w:bCs/>
                <w:color w:val="000000"/>
              </w:rPr>
            </w:pPr>
            <w:r w:rsidRPr="00D00BAE">
              <w:rPr>
                <w:b/>
                <w:bCs/>
                <w:color w:val="000000"/>
              </w:rPr>
              <w:t>Sydney</w:t>
            </w:r>
          </w:p>
        </w:tc>
        <w:tc>
          <w:tcPr>
            <w:tcW w:w="2410" w:type="dxa"/>
            <w:tcBorders>
              <w:top w:val="nil"/>
              <w:left w:val="nil"/>
              <w:bottom w:val="single" w:sz="8" w:space="0" w:color="auto"/>
              <w:right w:val="single" w:sz="8" w:space="0" w:color="auto"/>
            </w:tcBorders>
            <w:shd w:val="clear" w:color="auto" w:fill="auto"/>
            <w:hideMark/>
          </w:tcPr>
          <w:p w:rsidR="00D00BAE" w:rsidRPr="00D00BAE" w:rsidRDefault="00D00BAE" w:rsidP="00D00BAE">
            <w:pPr>
              <w:jc w:val="right"/>
              <w:rPr>
                <w:color w:val="000000"/>
              </w:rPr>
            </w:pPr>
            <w:r w:rsidRPr="00D00BAE">
              <w:rPr>
                <w:color w:val="000000"/>
              </w:rPr>
              <w:t>31/08/2014</w:t>
            </w:r>
          </w:p>
        </w:tc>
        <w:tc>
          <w:tcPr>
            <w:tcW w:w="1985" w:type="dxa"/>
            <w:tcBorders>
              <w:top w:val="nil"/>
              <w:left w:val="nil"/>
              <w:bottom w:val="single" w:sz="8" w:space="0" w:color="auto"/>
              <w:right w:val="single" w:sz="8" w:space="0" w:color="auto"/>
            </w:tcBorders>
            <w:shd w:val="clear" w:color="auto" w:fill="auto"/>
            <w:hideMark/>
          </w:tcPr>
          <w:p w:rsidR="00D00BAE" w:rsidRPr="00D00BAE" w:rsidRDefault="00D00BAE" w:rsidP="00D00BAE">
            <w:pPr>
              <w:jc w:val="right"/>
              <w:rPr>
                <w:color w:val="000000"/>
              </w:rPr>
            </w:pPr>
            <w:r w:rsidRPr="00D00BAE">
              <w:rPr>
                <w:color w:val="000000"/>
              </w:rPr>
              <w:t>2/06/2014</w:t>
            </w:r>
          </w:p>
        </w:tc>
      </w:tr>
      <w:tr w:rsidR="00D00BAE" w:rsidRPr="00D00BAE" w:rsidTr="00D00BAE">
        <w:trPr>
          <w:trHeight w:val="330"/>
        </w:trPr>
        <w:tc>
          <w:tcPr>
            <w:tcW w:w="3417" w:type="dxa"/>
            <w:tcBorders>
              <w:top w:val="nil"/>
              <w:left w:val="single" w:sz="8" w:space="0" w:color="auto"/>
              <w:bottom w:val="single" w:sz="8" w:space="0" w:color="auto"/>
              <w:right w:val="single" w:sz="8" w:space="0" w:color="auto"/>
            </w:tcBorders>
            <w:shd w:val="clear" w:color="auto" w:fill="auto"/>
            <w:hideMark/>
          </w:tcPr>
          <w:p w:rsidR="00D00BAE" w:rsidRPr="00D00BAE" w:rsidRDefault="00D00BAE" w:rsidP="00D00BAE">
            <w:pPr>
              <w:rPr>
                <w:b/>
                <w:bCs/>
                <w:color w:val="000000"/>
              </w:rPr>
            </w:pPr>
            <w:r w:rsidRPr="00D00BAE">
              <w:rPr>
                <w:b/>
                <w:bCs/>
                <w:color w:val="000000"/>
              </w:rPr>
              <w:t>Northern Sydney</w:t>
            </w:r>
          </w:p>
        </w:tc>
        <w:tc>
          <w:tcPr>
            <w:tcW w:w="2410" w:type="dxa"/>
            <w:tcBorders>
              <w:top w:val="nil"/>
              <w:left w:val="nil"/>
              <w:bottom w:val="single" w:sz="8" w:space="0" w:color="auto"/>
              <w:right w:val="single" w:sz="8" w:space="0" w:color="auto"/>
            </w:tcBorders>
            <w:shd w:val="clear" w:color="auto" w:fill="auto"/>
            <w:hideMark/>
          </w:tcPr>
          <w:p w:rsidR="00D00BAE" w:rsidRPr="00D00BAE" w:rsidRDefault="00D00BAE" w:rsidP="00D00BAE">
            <w:pPr>
              <w:jc w:val="right"/>
              <w:rPr>
                <w:color w:val="000000"/>
              </w:rPr>
            </w:pPr>
            <w:r w:rsidRPr="00D00BAE">
              <w:rPr>
                <w:color w:val="000000"/>
              </w:rPr>
              <w:t>11/09/2014</w:t>
            </w:r>
          </w:p>
        </w:tc>
        <w:tc>
          <w:tcPr>
            <w:tcW w:w="1985" w:type="dxa"/>
            <w:tcBorders>
              <w:top w:val="nil"/>
              <w:left w:val="nil"/>
              <w:bottom w:val="single" w:sz="8" w:space="0" w:color="auto"/>
              <w:right w:val="single" w:sz="8" w:space="0" w:color="auto"/>
            </w:tcBorders>
            <w:shd w:val="clear" w:color="auto" w:fill="auto"/>
            <w:hideMark/>
          </w:tcPr>
          <w:p w:rsidR="00D00BAE" w:rsidRPr="00D00BAE" w:rsidRDefault="00D00BAE" w:rsidP="00D00BAE">
            <w:pPr>
              <w:jc w:val="right"/>
              <w:rPr>
                <w:color w:val="000000"/>
              </w:rPr>
            </w:pPr>
            <w:r w:rsidRPr="00D00BAE">
              <w:rPr>
                <w:color w:val="000000"/>
              </w:rPr>
              <w:t>13/06/2014</w:t>
            </w:r>
          </w:p>
        </w:tc>
      </w:tr>
      <w:tr w:rsidR="00D00BAE" w:rsidRPr="00D00BAE" w:rsidTr="00D00BAE">
        <w:trPr>
          <w:trHeight w:val="330"/>
        </w:trPr>
        <w:tc>
          <w:tcPr>
            <w:tcW w:w="3417" w:type="dxa"/>
            <w:tcBorders>
              <w:top w:val="nil"/>
              <w:left w:val="single" w:sz="8" w:space="0" w:color="auto"/>
              <w:bottom w:val="single" w:sz="8" w:space="0" w:color="auto"/>
              <w:right w:val="single" w:sz="8" w:space="0" w:color="auto"/>
            </w:tcBorders>
            <w:shd w:val="clear" w:color="auto" w:fill="auto"/>
            <w:hideMark/>
          </w:tcPr>
          <w:p w:rsidR="00D00BAE" w:rsidRPr="00D00BAE" w:rsidRDefault="00D00BAE" w:rsidP="00D00BAE">
            <w:pPr>
              <w:rPr>
                <w:b/>
                <w:bCs/>
                <w:color w:val="000000"/>
              </w:rPr>
            </w:pPr>
            <w:r w:rsidRPr="00D00BAE">
              <w:rPr>
                <w:b/>
                <w:bCs/>
                <w:color w:val="000000"/>
              </w:rPr>
              <w:t>Western NSW</w:t>
            </w:r>
          </w:p>
        </w:tc>
        <w:tc>
          <w:tcPr>
            <w:tcW w:w="2410" w:type="dxa"/>
            <w:tcBorders>
              <w:top w:val="nil"/>
              <w:left w:val="nil"/>
              <w:bottom w:val="single" w:sz="8" w:space="0" w:color="auto"/>
              <w:right w:val="single" w:sz="8" w:space="0" w:color="auto"/>
            </w:tcBorders>
            <w:shd w:val="clear" w:color="auto" w:fill="auto"/>
            <w:hideMark/>
          </w:tcPr>
          <w:p w:rsidR="00D00BAE" w:rsidRPr="00D00BAE" w:rsidRDefault="00D00BAE" w:rsidP="00D00BAE">
            <w:pPr>
              <w:jc w:val="right"/>
              <w:rPr>
                <w:color w:val="000000"/>
              </w:rPr>
            </w:pPr>
            <w:r w:rsidRPr="00D00BAE">
              <w:rPr>
                <w:color w:val="000000"/>
              </w:rPr>
              <w:t>13/11/2014</w:t>
            </w:r>
          </w:p>
        </w:tc>
        <w:tc>
          <w:tcPr>
            <w:tcW w:w="1985" w:type="dxa"/>
            <w:tcBorders>
              <w:top w:val="nil"/>
              <w:left w:val="nil"/>
              <w:bottom w:val="single" w:sz="8" w:space="0" w:color="auto"/>
              <w:right w:val="single" w:sz="8" w:space="0" w:color="auto"/>
            </w:tcBorders>
            <w:shd w:val="clear" w:color="auto" w:fill="auto"/>
            <w:hideMark/>
          </w:tcPr>
          <w:p w:rsidR="00D00BAE" w:rsidRPr="00D00BAE" w:rsidRDefault="00D00BAE" w:rsidP="00D00BAE">
            <w:pPr>
              <w:jc w:val="right"/>
              <w:rPr>
                <w:color w:val="000000"/>
              </w:rPr>
            </w:pPr>
            <w:r w:rsidRPr="00D00BAE">
              <w:rPr>
                <w:color w:val="000000"/>
              </w:rPr>
              <w:t>15/08/2014</w:t>
            </w:r>
          </w:p>
        </w:tc>
      </w:tr>
      <w:tr w:rsidR="00D00BAE" w:rsidRPr="00D00BAE" w:rsidTr="00D00BAE">
        <w:trPr>
          <w:trHeight w:val="330"/>
        </w:trPr>
        <w:tc>
          <w:tcPr>
            <w:tcW w:w="3417" w:type="dxa"/>
            <w:tcBorders>
              <w:top w:val="nil"/>
              <w:left w:val="single" w:sz="8" w:space="0" w:color="auto"/>
              <w:bottom w:val="single" w:sz="8" w:space="0" w:color="auto"/>
              <w:right w:val="single" w:sz="8" w:space="0" w:color="auto"/>
            </w:tcBorders>
            <w:shd w:val="clear" w:color="auto" w:fill="auto"/>
            <w:hideMark/>
          </w:tcPr>
          <w:p w:rsidR="00D00BAE" w:rsidRPr="00D00BAE" w:rsidRDefault="00D00BAE" w:rsidP="00D00BAE">
            <w:pPr>
              <w:rPr>
                <w:b/>
                <w:bCs/>
                <w:color w:val="000000"/>
              </w:rPr>
            </w:pPr>
            <w:r w:rsidRPr="00D00BAE">
              <w:rPr>
                <w:b/>
                <w:bCs/>
                <w:color w:val="000000"/>
              </w:rPr>
              <w:t>Illawarra/South Coast</w:t>
            </w:r>
          </w:p>
        </w:tc>
        <w:tc>
          <w:tcPr>
            <w:tcW w:w="2410" w:type="dxa"/>
            <w:tcBorders>
              <w:top w:val="nil"/>
              <w:left w:val="nil"/>
              <w:bottom w:val="single" w:sz="8" w:space="0" w:color="auto"/>
              <w:right w:val="single" w:sz="8" w:space="0" w:color="auto"/>
            </w:tcBorders>
            <w:shd w:val="clear" w:color="auto" w:fill="auto"/>
            <w:hideMark/>
          </w:tcPr>
          <w:p w:rsidR="00D00BAE" w:rsidRPr="00D00BAE" w:rsidRDefault="00D00BAE" w:rsidP="00D00BAE">
            <w:pPr>
              <w:jc w:val="right"/>
              <w:rPr>
                <w:color w:val="000000"/>
              </w:rPr>
            </w:pPr>
            <w:r w:rsidRPr="00D00BAE">
              <w:rPr>
                <w:color w:val="000000"/>
              </w:rPr>
              <w:t>7/12/2014</w:t>
            </w:r>
          </w:p>
        </w:tc>
        <w:tc>
          <w:tcPr>
            <w:tcW w:w="1985" w:type="dxa"/>
            <w:tcBorders>
              <w:top w:val="nil"/>
              <w:left w:val="nil"/>
              <w:bottom w:val="single" w:sz="8" w:space="0" w:color="auto"/>
              <w:right w:val="single" w:sz="8" w:space="0" w:color="auto"/>
            </w:tcBorders>
            <w:shd w:val="clear" w:color="auto" w:fill="auto"/>
            <w:hideMark/>
          </w:tcPr>
          <w:p w:rsidR="00D00BAE" w:rsidRPr="00D00BAE" w:rsidRDefault="00D00BAE" w:rsidP="00D00BAE">
            <w:pPr>
              <w:jc w:val="right"/>
              <w:rPr>
                <w:color w:val="000000"/>
              </w:rPr>
            </w:pPr>
            <w:r w:rsidRPr="00D00BAE">
              <w:rPr>
                <w:color w:val="000000"/>
              </w:rPr>
              <w:t>8/09/2014</w:t>
            </w:r>
          </w:p>
        </w:tc>
      </w:tr>
    </w:tbl>
    <w:p w:rsidR="00391255" w:rsidRPr="00391255" w:rsidRDefault="00391255" w:rsidP="00E904AB">
      <w:pPr>
        <w:jc w:val="both"/>
        <w:rPr>
          <w:rStyle w:val="IntenseEmphasis"/>
          <w:i w:val="0"/>
          <w:color w:val="auto"/>
        </w:rPr>
      </w:pPr>
    </w:p>
    <w:p w:rsidR="00391255" w:rsidRDefault="00391255" w:rsidP="00E904AB">
      <w:pPr>
        <w:pStyle w:val="ListParagraph"/>
        <w:numPr>
          <w:ilvl w:val="0"/>
          <w:numId w:val="2"/>
        </w:numPr>
        <w:jc w:val="both"/>
        <w:rPr>
          <w:rStyle w:val="IntenseEmphasis"/>
          <w:i w:val="0"/>
          <w:color w:val="auto"/>
        </w:rPr>
      </w:pPr>
      <w:r w:rsidRPr="00391255">
        <w:rPr>
          <w:rStyle w:val="IntenseEmphasis"/>
          <w:i w:val="0"/>
          <w:color w:val="auto"/>
        </w:rPr>
        <w:lastRenderedPageBreak/>
        <w:t>Applications to Change Scope</w:t>
      </w:r>
    </w:p>
    <w:p w:rsidR="00391255" w:rsidRDefault="00391255" w:rsidP="00E904AB">
      <w:pPr>
        <w:jc w:val="both"/>
        <w:rPr>
          <w:rStyle w:val="IntenseEmphasis"/>
          <w:i w:val="0"/>
          <w:color w:val="auto"/>
        </w:rPr>
      </w:pPr>
    </w:p>
    <w:p w:rsidR="00391255" w:rsidRDefault="00492FB3" w:rsidP="00E904AB">
      <w:pPr>
        <w:jc w:val="both"/>
        <w:rPr>
          <w:rStyle w:val="IntenseEmphasis"/>
          <w:b w:val="0"/>
          <w:i w:val="0"/>
          <w:color w:val="auto"/>
        </w:rPr>
      </w:pPr>
      <w:r>
        <w:rPr>
          <w:rStyle w:val="IntenseEmphasis"/>
          <w:b w:val="0"/>
          <w:i w:val="0"/>
          <w:color w:val="auto"/>
        </w:rPr>
        <w:t xml:space="preserve">It is critical that RTOs are aware that ASQA’s application process to change scope </w:t>
      </w:r>
      <w:r w:rsidRPr="00492FB3">
        <w:rPr>
          <w:rStyle w:val="IntenseEmphasis"/>
          <w:i w:val="0"/>
          <w:color w:val="FF0000"/>
        </w:rPr>
        <w:t>differs</w:t>
      </w:r>
      <w:r>
        <w:rPr>
          <w:rStyle w:val="IntenseEmphasis"/>
          <w:b w:val="0"/>
          <w:i w:val="0"/>
          <w:color w:val="auto"/>
        </w:rPr>
        <w:t xml:space="preserve"> depending upon whether or not the desired training package qualification/unit is considered </w:t>
      </w:r>
      <w:r w:rsidRPr="00492FB3">
        <w:rPr>
          <w:rStyle w:val="IntenseEmphasis"/>
          <w:i w:val="0"/>
          <w:color w:val="FF0000"/>
        </w:rPr>
        <w:t>‘equivalent’</w:t>
      </w:r>
      <w:r>
        <w:rPr>
          <w:rStyle w:val="IntenseEmphasis"/>
          <w:b w:val="0"/>
          <w:i w:val="0"/>
          <w:color w:val="auto"/>
        </w:rPr>
        <w:t xml:space="preserve"> to a previous version on the RTO’s current scope.</w:t>
      </w:r>
    </w:p>
    <w:p w:rsidR="00492FB3" w:rsidRDefault="00492FB3" w:rsidP="00E904AB">
      <w:pPr>
        <w:jc w:val="both"/>
        <w:rPr>
          <w:rStyle w:val="IntenseEmphasis"/>
          <w:b w:val="0"/>
          <w:i w:val="0"/>
          <w:color w:val="auto"/>
        </w:rPr>
      </w:pPr>
    </w:p>
    <w:p w:rsidR="00492FB3" w:rsidRPr="00492FB3" w:rsidRDefault="00492FB3" w:rsidP="00E904AB">
      <w:pPr>
        <w:jc w:val="both"/>
        <w:rPr>
          <w:rStyle w:val="IntenseEmphasis"/>
          <w:i w:val="0"/>
          <w:color w:val="auto"/>
        </w:rPr>
      </w:pPr>
      <w:r>
        <w:rPr>
          <w:rStyle w:val="IntenseEmphasis"/>
          <w:b w:val="0"/>
          <w:i w:val="0"/>
          <w:color w:val="auto"/>
        </w:rPr>
        <w:t xml:space="preserve">To expedite application processing, RTOs are strongly advised to submit an application seeking to replace ‘equivalent’ qualifications on their scope </w:t>
      </w:r>
      <w:r w:rsidRPr="00492FB3">
        <w:rPr>
          <w:rStyle w:val="IntenseEmphasis"/>
          <w:i w:val="0"/>
          <w:color w:val="auto"/>
        </w:rPr>
        <w:t>separately to any other application.</w:t>
      </w:r>
    </w:p>
    <w:p w:rsidR="00391255" w:rsidRDefault="00391255" w:rsidP="00E904AB">
      <w:pPr>
        <w:jc w:val="both"/>
        <w:rPr>
          <w:rStyle w:val="IntenseEmphasis"/>
          <w:b w:val="0"/>
          <w:i w:val="0"/>
          <w:color w:val="auto"/>
        </w:rPr>
      </w:pPr>
    </w:p>
    <w:p w:rsidR="00E904AB" w:rsidRPr="00E904AB" w:rsidRDefault="00E904AB" w:rsidP="00E904AB">
      <w:pPr>
        <w:jc w:val="both"/>
        <w:rPr>
          <w:rStyle w:val="IntenseEmphasis"/>
          <w:i w:val="0"/>
          <w:color w:val="auto"/>
        </w:rPr>
      </w:pPr>
      <w:r w:rsidRPr="00E904AB">
        <w:rPr>
          <w:rStyle w:val="IntenseEmphasis"/>
          <w:i w:val="0"/>
          <w:color w:val="auto"/>
        </w:rPr>
        <w:t>Information Technology – ICA30111</w:t>
      </w:r>
    </w:p>
    <w:p w:rsidR="00E904AB" w:rsidRDefault="00E904AB" w:rsidP="00E904AB">
      <w:pPr>
        <w:jc w:val="both"/>
        <w:rPr>
          <w:b/>
        </w:rPr>
      </w:pPr>
      <w:r>
        <w:rPr>
          <w:rStyle w:val="IntenseEmphasis"/>
          <w:b w:val="0"/>
          <w:i w:val="0"/>
          <w:color w:val="auto"/>
        </w:rPr>
        <w:t xml:space="preserve">RTOs are advised to submit applications to add the replacement Information Technology qualification to their scope in preparation for Year 11 students enrolled in the superseded qualification (ICA30105) in 2012 to transition to the replacement qualification (ICA30111) in 2013. </w:t>
      </w:r>
      <w:r w:rsidRPr="00E904AB">
        <w:rPr>
          <w:rStyle w:val="IntenseEmphasis"/>
          <w:i w:val="0"/>
          <w:color w:val="auto"/>
        </w:rPr>
        <w:t xml:space="preserve">As this qualification is considered equivalent </w:t>
      </w:r>
      <w:r w:rsidRPr="00E904AB">
        <w:rPr>
          <w:b/>
        </w:rPr>
        <w:t>ASQAnet does not require any additional evidence to be submitted with this type of application.</w:t>
      </w:r>
    </w:p>
    <w:p w:rsidR="00E904AB" w:rsidRDefault="00E904AB" w:rsidP="00E904AB">
      <w:pPr>
        <w:jc w:val="both"/>
        <w:rPr>
          <w:b/>
        </w:rPr>
      </w:pPr>
    </w:p>
    <w:p w:rsidR="00E904AB" w:rsidRPr="00E904AB" w:rsidRDefault="00E904AB" w:rsidP="00056C69">
      <w:pPr>
        <w:jc w:val="both"/>
        <w:rPr>
          <w:b/>
        </w:rPr>
      </w:pPr>
      <w:r w:rsidRPr="00E904AB">
        <w:rPr>
          <w:b/>
        </w:rPr>
        <w:t>Construction – CPC20211</w:t>
      </w:r>
    </w:p>
    <w:p w:rsidR="00E904AB" w:rsidRPr="00E904AB" w:rsidRDefault="00E904AB" w:rsidP="00056C69">
      <w:pPr>
        <w:pStyle w:val="ListBullet"/>
        <w:numPr>
          <w:ilvl w:val="0"/>
          <w:numId w:val="0"/>
        </w:numPr>
        <w:jc w:val="both"/>
        <w:rPr>
          <w:rFonts w:ascii="Times New Roman" w:hAnsi="Times New Roman"/>
          <w:color w:val="auto"/>
          <w:sz w:val="24"/>
          <w:szCs w:val="24"/>
        </w:rPr>
      </w:pPr>
      <w:r w:rsidRPr="00E904AB">
        <w:rPr>
          <w:rFonts w:ascii="Times New Roman" w:hAnsi="Times New Roman"/>
          <w:color w:val="auto"/>
          <w:sz w:val="24"/>
          <w:szCs w:val="24"/>
        </w:rPr>
        <w:t>RTOs are advised to hold off on submitting applications to add the replacement Cons</w:t>
      </w:r>
      <w:r w:rsidR="00C5695E">
        <w:rPr>
          <w:rFonts w:ascii="Times New Roman" w:hAnsi="Times New Roman"/>
          <w:color w:val="auto"/>
          <w:sz w:val="24"/>
          <w:szCs w:val="24"/>
        </w:rPr>
        <w:t>truction Pathways qualification (CPC20211)</w:t>
      </w:r>
      <w:r w:rsidRPr="00E904AB">
        <w:rPr>
          <w:rFonts w:ascii="Times New Roman" w:hAnsi="Times New Roman"/>
          <w:color w:val="auto"/>
          <w:sz w:val="24"/>
          <w:szCs w:val="24"/>
        </w:rPr>
        <w:t xml:space="preserve"> to their scope of registration until the Directorate has consulted</w:t>
      </w:r>
      <w:r w:rsidR="00C5695E">
        <w:rPr>
          <w:rFonts w:ascii="Times New Roman" w:hAnsi="Times New Roman"/>
          <w:color w:val="auto"/>
          <w:sz w:val="24"/>
          <w:szCs w:val="24"/>
        </w:rPr>
        <w:t xml:space="preserve"> with regions</w:t>
      </w:r>
      <w:r w:rsidRPr="00E904AB">
        <w:rPr>
          <w:rFonts w:ascii="Times New Roman" w:hAnsi="Times New Roman"/>
          <w:color w:val="auto"/>
          <w:sz w:val="24"/>
          <w:szCs w:val="24"/>
        </w:rPr>
        <w:t xml:space="preserve"> in developin</w:t>
      </w:r>
      <w:r>
        <w:rPr>
          <w:rFonts w:ascii="Times New Roman" w:hAnsi="Times New Roman"/>
          <w:color w:val="auto"/>
          <w:sz w:val="24"/>
          <w:szCs w:val="24"/>
        </w:rPr>
        <w:t xml:space="preserve">g a </w:t>
      </w:r>
      <w:r w:rsidRPr="00E904AB">
        <w:rPr>
          <w:rFonts w:ascii="Times New Roman" w:hAnsi="Times New Roman"/>
          <w:color w:val="auto"/>
          <w:sz w:val="24"/>
          <w:szCs w:val="24"/>
        </w:rPr>
        <w:t xml:space="preserve">Training and Assessment Strategy (TAS) as due to this qualification being deemed </w:t>
      </w:r>
      <w:r w:rsidRPr="00C5695E">
        <w:rPr>
          <w:rFonts w:ascii="Times New Roman" w:hAnsi="Times New Roman"/>
          <w:b/>
          <w:color w:val="auto"/>
          <w:sz w:val="24"/>
          <w:szCs w:val="24"/>
        </w:rPr>
        <w:t>NOT EQUIVALENT</w:t>
      </w:r>
      <w:r w:rsidRPr="00E904AB">
        <w:rPr>
          <w:rFonts w:ascii="Times New Roman" w:hAnsi="Times New Roman"/>
          <w:color w:val="auto"/>
          <w:sz w:val="24"/>
          <w:szCs w:val="24"/>
        </w:rPr>
        <w:t xml:space="preserve"> ASQAnet will require </w:t>
      </w:r>
      <w:r w:rsidRPr="00C5695E">
        <w:rPr>
          <w:rFonts w:ascii="Times New Roman" w:hAnsi="Times New Roman"/>
          <w:color w:val="auto"/>
          <w:sz w:val="24"/>
          <w:szCs w:val="24"/>
          <w:u w:val="single"/>
        </w:rPr>
        <w:t>additional evidentiary material</w:t>
      </w:r>
      <w:r w:rsidRPr="00E904AB">
        <w:rPr>
          <w:rFonts w:ascii="Times New Roman" w:hAnsi="Times New Roman"/>
          <w:color w:val="auto"/>
          <w:sz w:val="24"/>
          <w:szCs w:val="24"/>
        </w:rPr>
        <w:t xml:space="preserve"> to be attached with this application in section 3.</w:t>
      </w:r>
    </w:p>
    <w:p w:rsidR="00E904AB" w:rsidRDefault="00E904AB" w:rsidP="00056C69">
      <w:pPr>
        <w:jc w:val="both"/>
        <w:rPr>
          <w:rStyle w:val="IntenseEmphasis"/>
          <w:b w:val="0"/>
          <w:i w:val="0"/>
          <w:color w:val="auto"/>
        </w:rPr>
      </w:pPr>
    </w:p>
    <w:p w:rsidR="00C5695E" w:rsidRPr="00E904AB" w:rsidRDefault="00C5695E" w:rsidP="00056C69">
      <w:pPr>
        <w:jc w:val="both"/>
        <w:rPr>
          <w:rStyle w:val="IntenseEmphasis"/>
          <w:b w:val="0"/>
          <w:i w:val="0"/>
          <w:color w:val="auto"/>
        </w:rPr>
      </w:pPr>
      <w:r>
        <w:rPr>
          <w:rStyle w:val="IntenseEmphasis"/>
          <w:b w:val="0"/>
          <w:i w:val="0"/>
          <w:color w:val="auto"/>
        </w:rPr>
        <w:t>See table below for further information regarding the application process for changing scope.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147"/>
        <w:gridCol w:w="4147"/>
      </w:tblGrid>
      <w:tr w:rsidR="00492FB3" w:rsidTr="005F017B">
        <w:tc>
          <w:tcPr>
            <w:tcW w:w="4147" w:type="dxa"/>
            <w:tcBorders>
              <w:top w:val="single" w:sz="4" w:space="0" w:color="00517D"/>
              <w:left w:val="single" w:sz="4" w:space="0" w:color="00517D"/>
              <w:bottom w:val="single" w:sz="4" w:space="0" w:color="00517D"/>
              <w:right w:val="single" w:sz="4" w:space="0" w:color="00517D"/>
            </w:tcBorders>
          </w:tcPr>
          <w:p w:rsidR="00492FB3" w:rsidRPr="00492FB3" w:rsidRDefault="00492FB3" w:rsidP="005F017B">
            <w:pPr>
              <w:pStyle w:val="Heading4UnNumbered"/>
              <w:rPr>
                <w:rFonts w:ascii="Times New Roman" w:hAnsi="Times New Roman"/>
                <w:color w:val="auto"/>
                <w:sz w:val="24"/>
                <w:szCs w:val="24"/>
              </w:rPr>
            </w:pPr>
            <w:r w:rsidRPr="00492FB3">
              <w:rPr>
                <w:rFonts w:ascii="Times New Roman" w:hAnsi="Times New Roman"/>
                <w:color w:val="auto"/>
                <w:sz w:val="24"/>
                <w:szCs w:val="24"/>
              </w:rPr>
              <w:lastRenderedPageBreak/>
              <w:t>Equivalent qualifications (E)</w:t>
            </w:r>
          </w:p>
          <w:p w:rsidR="00492FB3" w:rsidRPr="00492FB3" w:rsidRDefault="00492FB3" w:rsidP="005F017B">
            <w:pPr>
              <w:pStyle w:val="Heading4UnNumbered"/>
              <w:rPr>
                <w:rFonts w:ascii="Times New Roman" w:hAnsi="Times New Roman"/>
                <w:b w:val="0"/>
                <w:color w:val="auto"/>
                <w:sz w:val="24"/>
                <w:szCs w:val="24"/>
              </w:rPr>
            </w:pPr>
            <w:r w:rsidRPr="00492FB3">
              <w:rPr>
                <w:rFonts w:ascii="Times New Roman" w:hAnsi="Times New Roman"/>
                <w:b w:val="0"/>
                <w:color w:val="auto"/>
                <w:sz w:val="24"/>
                <w:szCs w:val="24"/>
              </w:rPr>
              <w:t>An RTO with the previous qualification/course on its scope of registration can apply to ASQA to ‘transition’ to the revised qualification if:</w:t>
            </w:r>
          </w:p>
          <w:p w:rsidR="00492FB3" w:rsidRPr="00492FB3" w:rsidRDefault="00492FB3" w:rsidP="00492FB3">
            <w:pPr>
              <w:pStyle w:val="ListParagraph"/>
              <w:numPr>
                <w:ilvl w:val="0"/>
                <w:numId w:val="6"/>
              </w:numPr>
              <w:spacing w:before="120" w:after="115" w:line="220" w:lineRule="atLeast"/>
              <w:ind w:left="714" w:hanging="357"/>
            </w:pPr>
            <w:r w:rsidRPr="00492FB3">
              <w:t>the training package mapping information indicates that a new qualification</w:t>
            </w:r>
            <w:r w:rsidRPr="00492FB3">
              <w:rPr>
                <w:b/>
              </w:rPr>
              <w:t xml:space="preserve"> is equivalent</w:t>
            </w:r>
            <w:r w:rsidRPr="00492FB3">
              <w:t xml:space="preserve"> (or delivers equivalent vocational outcomes) to a qualification in the previous version or to an accredited course. </w:t>
            </w:r>
          </w:p>
          <w:p w:rsidR="00492FB3" w:rsidRDefault="00492FB3" w:rsidP="005F017B">
            <w:pPr>
              <w:pStyle w:val="Heading4UnNumbered"/>
              <w:rPr>
                <w:rFonts w:ascii="Times New Roman" w:hAnsi="Times New Roman"/>
                <w:color w:val="auto"/>
                <w:sz w:val="24"/>
                <w:szCs w:val="24"/>
              </w:rPr>
            </w:pPr>
          </w:p>
          <w:p w:rsidR="00492FB3" w:rsidRDefault="00492FB3" w:rsidP="00492FB3">
            <w:pPr>
              <w:rPr>
                <w:lang w:eastAsia="en-US"/>
              </w:rPr>
            </w:pPr>
          </w:p>
          <w:p w:rsidR="00492FB3" w:rsidRDefault="00492FB3" w:rsidP="00492FB3">
            <w:pPr>
              <w:rPr>
                <w:lang w:eastAsia="en-US"/>
              </w:rPr>
            </w:pPr>
          </w:p>
          <w:p w:rsidR="00492FB3" w:rsidRDefault="00492FB3" w:rsidP="00492FB3">
            <w:pPr>
              <w:rPr>
                <w:lang w:eastAsia="en-US"/>
              </w:rPr>
            </w:pPr>
          </w:p>
          <w:p w:rsidR="005B003E" w:rsidRDefault="005B003E" w:rsidP="00492FB3">
            <w:pPr>
              <w:rPr>
                <w:lang w:eastAsia="en-US"/>
              </w:rPr>
            </w:pPr>
          </w:p>
          <w:p w:rsidR="005B003E" w:rsidRPr="00492FB3" w:rsidRDefault="005B003E" w:rsidP="00492FB3">
            <w:pPr>
              <w:rPr>
                <w:lang w:eastAsia="en-US"/>
              </w:rPr>
            </w:pPr>
          </w:p>
        </w:tc>
        <w:tc>
          <w:tcPr>
            <w:tcW w:w="4147" w:type="dxa"/>
            <w:tcBorders>
              <w:top w:val="single" w:sz="4" w:space="0" w:color="00517D"/>
              <w:left w:val="single" w:sz="4" w:space="0" w:color="00517D"/>
              <w:bottom w:val="single" w:sz="4" w:space="0" w:color="00517D"/>
              <w:right w:val="single" w:sz="4" w:space="0" w:color="00517D"/>
            </w:tcBorders>
          </w:tcPr>
          <w:p w:rsidR="00492FB3" w:rsidRPr="00492FB3" w:rsidRDefault="00492FB3" w:rsidP="005F017B">
            <w:pPr>
              <w:pStyle w:val="Heading4UnNumbered"/>
              <w:rPr>
                <w:rFonts w:ascii="Times New Roman" w:hAnsi="Times New Roman"/>
                <w:color w:val="auto"/>
                <w:sz w:val="24"/>
                <w:szCs w:val="24"/>
              </w:rPr>
            </w:pPr>
            <w:r w:rsidRPr="00492FB3">
              <w:rPr>
                <w:rFonts w:ascii="Times New Roman" w:hAnsi="Times New Roman"/>
                <w:color w:val="auto"/>
                <w:sz w:val="24"/>
                <w:szCs w:val="24"/>
              </w:rPr>
              <w:t>Not equivalent qualifications (N)</w:t>
            </w:r>
          </w:p>
          <w:p w:rsidR="00492FB3" w:rsidRPr="00492FB3" w:rsidRDefault="00492FB3" w:rsidP="005F017B">
            <w:pPr>
              <w:spacing w:before="120"/>
            </w:pPr>
            <w:r w:rsidRPr="00492FB3">
              <w:t>An RTO with the previous qualification/course on its scope of registration is not eligible to apply to ‘transition’ to the new qualification if:</w:t>
            </w:r>
          </w:p>
          <w:p w:rsidR="00492FB3" w:rsidRPr="00492FB3" w:rsidRDefault="00492FB3" w:rsidP="00492FB3">
            <w:pPr>
              <w:pStyle w:val="ListBullet"/>
              <w:numPr>
                <w:ilvl w:val="0"/>
                <w:numId w:val="6"/>
              </w:numPr>
              <w:rPr>
                <w:rFonts w:ascii="Times New Roman" w:hAnsi="Times New Roman"/>
                <w:color w:val="auto"/>
                <w:sz w:val="24"/>
                <w:szCs w:val="24"/>
              </w:rPr>
            </w:pPr>
            <w:r w:rsidRPr="00492FB3">
              <w:rPr>
                <w:rFonts w:ascii="Times New Roman" w:hAnsi="Times New Roman"/>
                <w:color w:val="auto"/>
                <w:sz w:val="24"/>
                <w:szCs w:val="24"/>
              </w:rPr>
              <w:t>the training package mapping information indicates that a new qualification supersedes a previous qualification, or replaces an accredited course,</w:t>
            </w:r>
            <w:r w:rsidRPr="00492FB3">
              <w:rPr>
                <w:rFonts w:ascii="Times New Roman" w:hAnsi="Times New Roman"/>
                <w:b/>
                <w:color w:val="auto"/>
                <w:sz w:val="24"/>
                <w:szCs w:val="24"/>
              </w:rPr>
              <w:t xml:space="preserve"> but is not equivalent</w:t>
            </w:r>
            <w:r w:rsidRPr="00492FB3">
              <w:rPr>
                <w:rFonts w:ascii="Times New Roman" w:hAnsi="Times New Roman"/>
                <w:color w:val="auto"/>
                <w:sz w:val="24"/>
                <w:szCs w:val="24"/>
              </w:rPr>
              <w:t xml:space="preserve">. </w:t>
            </w:r>
          </w:p>
          <w:p w:rsidR="00492FB3" w:rsidRPr="00492FB3" w:rsidRDefault="00492FB3" w:rsidP="005F017B">
            <w:pPr>
              <w:pStyle w:val="Heading4UnNumbered"/>
              <w:rPr>
                <w:rFonts w:ascii="Times New Roman" w:hAnsi="Times New Roman"/>
                <w:color w:val="auto"/>
                <w:sz w:val="24"/>
                <w:szCs w:val="24"/>
              </w:rPr>
            </w:pPr>
          </w:p>
        </w:tc>
      </w:tr>
      <w:tr w:rsidR="00492FB3" w:rsidTr="005F017B">
        <w:tc>
          <w:tcPr>
            <w:tcW w:w="4147" w:type="dxa"/>
            <w:tcBorders>
              <w:top w:val="single" w:sz="4" w:space="0" w:color="00517D"/>
              <w:left w:val="single" w:sz="4" w:space="0" w:color="00517D"/>
              <w:bottom w:val="single" w:sz="4" w:space="0" w:color="00517D"/>
              <w:right w:val="single" w:sz="4" w:space="0" w:color="00517D"/>
            </w:tcBorders>
          </w:tcPr>
          <w:p w:rsidR="00492FB3" w:rsidRPr="00492FB3" w:rsidRDefault="00492FB3" w:rsidP="005F017B">
            <w:pPr>
              <w:pStyle w:val="Heading5UnNumbered"/>
              <w:rPr>
                <w:rFonts w:ascii="Times New Roman" w:hAnsi="Times New Roman"/>
                <w:color w:val="auto"/>
                <w:sz w:val="24"/>
                <w:szCs w:val="24"/>
              </w:rPr>
            </w:pPr>
            <w:r w:rsidRPr="00492FB3">
              <w:rPr>
                <w:rFonts w:ascii="Times New Roman" w:hAnsi="Times New Roman"/>
                <w:color w:val="auto"/>
                <w:sz w:val="24"/>
                <w:szCs w:val="24"/>
              </w:rPr>
              <w:t>Application process—equivalent qualifications</w:t>
            </w:r>
          </w:p>
          <w:p w:rsidR="00492FB3" w:rsidRPr="00492FB3" w:rsidRDefault="00492FB3" w:rsidP="00492FB3">
            <w:pPr>
              <w:pStyle w:val="ListBullet"/>
              <w:numPr>
                <w:ilvl w:val="0"/>
                <w:numId w:val="4"/>
              </w:numPr>
              <w:spacing w:after="0"/>
              <w:rPr>
                <w:rFonts w:ascii="Times New Roman" w:hAnsi="Times New Roman"/>
                <w:color w:val="auto"/>
                <w:sz w:val="24"/>
                <w:szCs w:val="24"/>
              </w:rPr>
            </w:pPr>
            <w:r w:rsidRPr="00492FB3">
              <w:rPr>
                <w:rFonts w:ascii="Times New Roman" w:hAnsi="Times New Roman"/>
                <w:color w:val="auto"/>
                <w:sz w:val="24"/>
                <w:szCs w:val="24"/>
              </w:rPr>
              <w:t xml:space="preserve">Use the ‘Application to change RTO scope of registration’ on </w:t>
            </w:r>
            <w:hyperlink r:id="rId8" w:history="1">
              <w:r w:rsidRPr="00492FB3">
                <w:rPr>
                  <w:rStyle w:val="Hyperlink"/>
                  <w:rFonts w:ascii="Times New Roman" w:hAnsi="Times New Roman"/>
                  <w:color w:val="auto"/>
                  <w:sz w:val="24"/>
                  <w:szCs w:val="24"/>
                </w:rPr>
                <w:t>ASQAnet</w:t>
              </w:r>
            </w:hyperlink>
            <w:r w:rsidRPr="00492FB3">
              <w:rPr>
                <w:rFonts w:ascii="Times New Roman" w:hAnsi="Times New Roman"/>
                <w:color w:val="auto"/>
                <w:sz w:val="24"/>
                <w:szCs w:val="24"/>
              </w:rPr>
              <w:t>.</w:t>
            </w:r>
          </w:p>
          <w:p w:rsidR="00492FB3" w:rsidRPr="00492FB3" w:rsidRDefault="00492FB3" w:rsidP="00492FB3">
            <w:pPr>
              <w:pStyle w:val="ListBullet"/>
              <w:numPr>
                <w:ilvl w:val="0"/>
                <w:numId w:val="4"/>
              </w:numPr>
              <w:spacing w:after="0"/>
              <w:rPr>
                <w:rFonts w:ascii="Times New Roman" w:hAnsi="Times New Roman"/>
                <w:color w:val="auto"/>
                <w:sz w:val="24"/>
                <w:szCs w:val="24"/>
              </w:rPr>
            </w:pPr>
            <w:r w:rsidRPr="00492FB3">
              <w:rPr>
                <w:rFonts w:ascii="Times New Roman" w:hAnsi="Times New Roman"/>
                <w:color w:val="auto"/>
                <w:sz w:val="24"/>
                <w:szCs w:val="24"/>
              </w:rPr>
              <w:t xml:space="preserve">Check the ‘Yes’ box in the ‘Transition’ field in section 2.1 of the application. </w:t>
            </w:r>
          </w:p>
          <w:p w:rsidR="00492FB3" w:rsidRPr="00492FB3" w:rsidRDefault="00492FB3" w:rsidP="00492FB3">
            <w:pPr>
              <w:pStyle w:val="ListBullet"/>
              <w:numPr>
                <w:ilvl w:val="0"/>
                <w:numId w:val="4"/>
              </w:numPr>
              <w:rPr>
                <w:rFonts w:ascii="Times New Roman" w:hAnsi="Times New Roman"/>
                <w:color w:val="auto"/>
                <w:sz w:val="24"/>
                <w:szCs w:val="24"/>
              </w:rPr>
            </w:pPr>
            <w:r w:rsidRPr="00492FB3">
              <w:rPr>
                <w:rFonts w:ascii="Times New Roman" w:hAnsi="Times New Roman"/>
                <w:color w:val="auto"/>
                <w:sz w:val="24"/>
                <w:szCs w:val="24"/>
              </w:rPr>
              <w:t xml:space="preserve">Identify the qualification or accredited course currently on scope that the new qualification either supersedes or replaces. </w:t>
            </w:r>
          </w:p>
          <w:p w:rsidR="00492FB3" w:rsidRPr="00492FB3" w:rsidRDefault="00492FB3" w:rsidP="005F017B">
            <w:pPr>
              <w:pStyle w:val="ListBullet"/>
              <w:numPr>
                <w:ilvl w:val="0"/>
                <w:numId w:val="0"/>
              </w:numPr>
              <w:rPr>
                <w:rFonts w:ascii="Times New Roman" w:hAnsi="Times New Roman"/>
                <w:color w:val="auto"/>
                <w:sz w:val="24"/>
                <w:szCs w:val="24"/>
                <w:highlight w:val="yellow"/>
              </w:rPr>
            </w:pPr>
            <w:r w:rsidRPr="00492FB3">
              <w:rPr>
                <w:rFonts w:ascii="Times New Roman" w:hAnsi="Times New Roman"/>
                <w:color w:val="auto"/>
                <w:sz w:val="24"/>
                <w:szCs w:val="24"/>
              </w:rPr>
              <w:t>ASQAnet does not require any additional evidence to be submitted with this type of application (unless the application is for a TAE10 qualification—refer to application).</w:t>
            </w:r>
          </w:p>
          <w:p w:rsidR="00492FB3" w:rsidRPr="00492FB3" w:rsidRDefault="00492FB3" w:rsidP="005F017B">
            <w:pPr>
              <w:pStyle w:val="ListBullet"/>
              <w:numPr>
                <w:ilvl w:val="0"/>
                <w:numId w:val="0"/>
              </w:numPr>
              <w:rPr>
                <w:rFonts w:ascii="Times New Roman" w:hAnsi="Times New Roman"/>
                <w:color w:val="auto"/>
                <w:sz w:val="24"/>
                <w:szCs w:val="24"/>
              </w:rPr>
            </w:pPr>
            <w:r w:rsidRPr="00492FB3">
              <w:rPr>
                <w:rFonts w:ascii="Times New Roman" w:hAnsi="Times New Roman"/>
                <w:color w:val="auto"/>
                <w:sz w:val="24"/>
                <w:szCs w:val="24"/>
              </w:rPr>
              <w:t xml:space="preserve">A reduced flat-rate application fee applies to any number of qualifications from a single training package </w:t>
            </w:r>
            <w:r w:rsidRPr="00492FB3">
              <w:rPr>
                <w:rFonts w:ascii="Times New Roman" w:hAnsi="Times New Roman"/>
                <w:b/>
                <w:color w:val="auto"/>
                <w:sz w:val="24"/>
                <w:szCs w:val="24"/>
              </w:rPr>
              <w:t>submitted in the one application</w:t>
            </w:r>
            <w:r w:rsidRPr="00492FB3">
              <w:rPr>
                <w:rFonts w:ascii="Times New Roman" w:hAnsi="Times New Roman"/>
                <w:color w:val="auto"/>
                <w:sz w:val="24"/>
                <w:szCs w:val="24"/>
              </w:rPr>
              <w:t xml:space="preserve">. </w:t>
            </w:r>
          </w:p>
          <w:p w:rsidR="00492FB3" w:rsidRPr="00492FB3" w:rsidRDefault="00492FB3" w:rsidP="005F017B">
            <w:pPr>
              <w:pStyle w:val="ListBullet"/>
              <w:numPr>
                <w:ilvl w:val="0"/>
                <w:numId w:val="0"/>
              </w:numPr>
              <w:rPr>
                <w:rFonts w:ascii="Times New Roman" w:hAnsi="Times New Roman"/>
                <w:color w:val="auto"/>
                <w:sz w:val="24"/>
                <w:szCs w:val="24"/>
              </w:rPr>
            </w:pPr>
            <w:r w:rsidRPr="00492FB3">
              <w:rPr>
                <w:rFonts w:ascii="Times New Roman" w:hAnsi="Times New Roman"/>
                <w:color w:val="auto"/>
                <w:sz w:val="24"/>
                <w:szCs w:val="24"/>
              </w:rPr>
              <w:t xml:space="preserve">ASQA will contact you if it identifies that your application for ‘transition’ registration of an equivalent qualification does not meet all necessary requirements. </w:t>
            </w:r>
          </w:p>
          <w:p w:rsidR="00492FB3" w:rsidRPr="00492FB3" w:rsidRDefault="00492FB3" w:rsidP="005F017B"/>
        </w:tc>
        <w:tc>
          <w:tcPr>
            <w:tcW w:w="4147" w:type="dxa"/>
            <w:tcBorders>
              <w:top w:val="single" w:sz="4" w:space="0" w:color="00517D"/>
              <w:left w:val="single" w:sz="4" w:space="0" w:color="00517D"/>
              <w:bottom w:val="single" w:sz="4" w:space="0" w:color="00517D"/>
              <w:right w:val="single" w:sz="4" w:space="0" w:color="00517D"/>
            </w:tcBorders>
          </w:tcPr>
          <w:p w:rsidR="00492FB3" w:rsidRPr="00492FB3" w:rsidRDefault="00492FB3" w:rsidP="005F017B">
            <w:pPr>
              <w:spacing w:before="100" w:after="60"/>
              <w:rPr>
                <w:i/>
              </w:rPr>
            </w:pPr>
            <w:r w:rsidRPr="00492FB3">
              <w:rPr>
                <w:i/>
              </w:rPr>
              <w:t>Application process—not equivalent qualifications</w:t>
            </w:r>
          </w:p>
          <w:p w:rsidR="00492FB3" w:rsidRPr="00492FB3" w:rsidRDefault="00492FB3" w:rsidP="00492FB3">
            <w:pPr>
              <w:pStyle w:val="ListBullet"/>
              <w:numPr>
                <w:ilvl w:val="0"/>
                <w:numId w:val="5"/>
              </w:numPr>
              <w:spacing w:after="0"/>
              <w:rPr>
                <w:rFonts w:ascii="Times New Roman" w:hAnsi="Times New Roman"/>
                <w:color w:val="auto"/>
                <w:sz w:val="24"/>
                <w:szCs w:val="24"/>
              </w:rPr>
            </w:pPr>
            <w:r w:rsidRPr="00492FB3">
              <w:rPr>
                <w:rFonts w:ascii="Times New Roman" w:hAnsi="Times New Roman"/>
                <w:color w:val="auto"/>
                <w:sz w:val="24"/>
                <w:szCs w:val="24"/>
              </w:rPr>
              <w:t xml:space="preserve">Use the ‘Application to change RTO scope of registration’ form on </w:t>
            </w:r>
            <w:hyperlink r:id="rId9" w:history="1">
              <w:r w:rsidRPr="00492FB3">
                <w:rPr>
                  <w:rStyle w:val="Hyperlink"/>
                  <w:rFonts w:ascii="Times New Roman" w:hAnsi="Times New Roman"/>
                  <w:color w:val="auto"/>
                  <w:sz w:val="24"/>
                  <w:szCs w:val="24"/>
                </w:rPr>
                <w:t>ASQAnet</w:t>
              </w:r>
            </w:hyperlink>
            <w:r w:rsidRPr="00492FB3">
              <w:rPr>
                <w:rFonts w:ascii="Times New Roman" w:hAnsi="Times New Roman"/>
                <w:color w:val="auto"/>
                <w:sz w:val="24"/>
                <w:szCs w:val="24"/>
              </w:rPr>
              <w:t>.</w:t>
            </w:r>
          </w:p>
          <w:p w:rsidR="00492FB3" w:rsidRPr="00492FB3" w:rsidRDefault="00492FB3" w:rsidP="00492FB3">
            <w:pPr>
              <w:pStyle w:val="ListBullet"/>
              <w:numPr>
                <w:ilvl w:val="0"/>
                <w:numId w:val="5"/>
              </w:numPr>
              <w:rPr>
                <w:rFonts w:ascii="Times New Roman" w:hAnsi="Times New Roman"/>
                <w:color w:val="auto"/>
                <w:sz w:val="24"/>
                <w:szCs w:val="24"/>
              </w:rPr>
            </w:pPr>
            <w:r w:rsidRPr="00492FB3">
              <w:rPr>
                <w:rFonts w:ascii="Times New Roman" w:hAnsi="Times New Roman"/>
                <w:color w:val="auto"/>
                <w:sz w:val="24"/>
                <w:szCs w:val="24"/>
              </w:rPr>
              <w:t xml:space="preserve">Check the ‘No’ box in the ‘Transition’ field in section 2.1 of the application form. </w:t>
            </w:r>
          </w:p>
          <w:p w:rsidR="00492FB3" w:rsidRPr="00492FB3" w:rsidRDefault="00492FB3" w:rsidP="005F017B">
            <w:pPr>
              <w:pStyle w:val="ListBullet"/>
              <w:numPr>
                <w:ilvl w:val="0"/>
                <w:numId w:val="0"/>
              </w:numPr>
              <w:rPr>
                <w:rFonts w:ascii="Times New Roman" w:hAnsi="Times New Roman"/>
                <w:color w:val="auto"/>
                <w:sz w:val="24"/>
                <w:szCs w:val="24"/>
              </w:rPr>
            </w:pPr>
            <w:r w:rsidRPr="00492FB3">
              <w:rPr>
                <w:rFonts w:ascii="Times New Roman" w:hAnsi="Times New Roman"/>
                <w:color w:val="auto"/>
                <w:sz w:val="24"/>
                <w:szCs w:val="24"/>
              </w:rPr>
              <w:t>ASQAnet will require additional evidentiary material to be attached with this application in section 3.</w:t>
            </w:r>
          </w:p>
          <w:p w:rsidR="00492FB3" w:rsidRPr="00492FB3" w:rsidRDefault="00492FB3" w:rsidP="005F017B">
            <w:pPr>
              <w:pStyle w:val="ListBullet"/>
              <w:numPr>
                <w:ilvl w:val="0"/>
                <w:numId w:val="0"/>
              </w:numPr>
              <w:rPr>
                <w:rFonts w:ascii="Times New Roman" w:hAnsi="Times New Roman"/>
                <w:color w:val="auto"/>
                <w:sz w:val="24"/>
                <w:szCs w:val="24"/>
              </w:rPr>
            </w:pPr>
            <w:r w:rsidRPr="00492FB3">
              <w:rPr>
                <w:rFonts w:ascii="Times New Roman" w:hAnsi="Times New Roman"/>
                <w:color w:val="auto"/>
                <w:sz w:val="24"/>
                <w:szCs w:val="24"/>
              </w:rPr>
              <w:t xml:space="preserve">The regular fee that applies to changing an RTO’s scope of registration applies to such applications. </w:t>
            </w:r>
          </w:p>
          <w:p w:rsidR="00492FB3" w:rsidRPr="00492FB3" w:rsidRDefault="00492FB3" w:rsidP="005F017B">
            <w:pPr>
              <w:pStyle w:val="Heading4UnNumbered"/>
              <w:rPr>
                <w:rFonts w:ascii="Times New Roman" w:hAnsi="Times New Roman"/>
                <w:color w:val="auto"/>
                <w:sz w:val="24"/>
                <w:szCs w:val="24"/>
              </w:rPr>
            </w:pPr>
          </w:p>
        </w:tc>
      </w:tr>
    </w:tbl>
    <w:p w:rsidR="001B3D55" w:rsidRDefault="001B3D55" w:rsidP="00391255">
      <w:pPr>
        <w:rPr>
          <w:rStyle w:val="IntenseEmphasis"/>
          <w:b w:val="0"/>
          <w:i w:val="0"/>
          <w:color w:val="auto"/>
        </w:rPr>
      </w:pPr>
    </w:p>
    <w:p w:rsidR="001B3D55" w:rsidRPr="00391255" w:rsidRDefault="001B3D55" w:rsidP="00391255">
      <w:pPr>
        <w:rPr>
          <w:rStyle w:val="IntenseEmphasis"/>
          <w:b w:val="0"/>
          <w:i w:val="0"/>
          <w:color w:val="auto"/>
        </w:rPr>
      </w:pPr>
    </w:p>
    <w:p w:rsidR="00D82D11" w:rsidRDefault="001B3D55" w:rsidP="001B3D55">
      <w:pPr>
        <w:pStyle w:val="ListParagraph"/>
        <w:numPr>
          <w:ilvl w:val="0"/>
          <w:numId w:val="2"/>
        </w:numPr>
        <w:rPr>
          <w:rStyle w:val="IntenseEmphasis"/>
          <w:i w:val="0"/>
          <w:color w:val="auto"/>
        </w:rPr>
      </w:pPr>
      <w:r w:rsidRPr="001B3D55">
        <w:rPr>
          <w:rStyle w:val="IntenseEmphasis"/>
          <w:i w:val="0"/>
          <w:color w:val="auto"/>
        </w:rPr>
        <w:t>Removing training package qualifications from scope</w:t>
      </w:r>
    </w:p>
    <w:p w:rsidR="001B3D55" w:rsidRDefault="001B3D55" w:rsidP="001B3D55">
      <w:pPr>
        <w:rPr>
          <w:rStyle w:val="IntenseEmphasis"/>
          <w:i w:val="0"/>
          <w:color w:val="auto"/>
        </w:rPr>
      </w:pPr>
    </w:p>
    <w:p w:rsidR="001B3D55" w:rsidRDefault="001B3D55" w:rsidP="001B3D55">
      <w:pPr>
        <w:rPr>
          <w:rStyle w:val="IntenseEmphasis"/>
          <w:b w:val="0"/>
          <w:i w:val="0"/>
          <w:color w:val="auto"/>
        </w:rPr>
      </w:pPr>
      <w:r>
        <w:rPr>
          <w:rStyle w:val="IntenseEmphasis"/>
          <w:b w:val="0"/>
          <w:i w:val="0"/>
          <w:color w:val="auto"/>
        </w:rPr>
        <w:t>RTOs are advised to keep their scope of registration up-to-date in relation to removing superseded training package qualifications and/or units of competency as ASQA charges a fee for ALL qualifications/units of competency that appear on an RTO’s scope of registration.</w:t>
      </w:r>
    </w:p>
    <w:p w:rsidR="001B3D55" w:rsidRDefault="001B3D55" w:rsidP="001B3D55">
      <w:pPr>
        <w:rPr>
          <w:rStyle w:val="IntenseEmphasis"/>
          <w:b w:val="0"/>
          <w:i w:val="0"/>
          <w:color w:val="auto"/>
        </w:rPr>
      </w:pPr>
    </w:p>
    <w:p w:rsidR="001B3D55" w:rsidRDefault="001B3D55" w:rsidP="001B3D55">
      <w:pPr>
        <w:rPr>
          <w:rStyle w:val="IntenseEmphasis"/>
          <w:b w:val="0"/>
          <w:i w:val="0"/>
          <w:color w:val="auto"/>
        </w:rPr>
      </w:pPr>
      <w:r>
        <w:rPr>
          <w:rStyle w:val="IntenseEmphasis"/>
          <w:b w:val="0"/>
          <w:i w:val="0"/>
          <w:color w:val="auto"/>
        </w:rPr>
        <w:t>It is critical that any qualifications/units of competency that are removed are checked to ensure there are no students currently enrolled i.e. awareness of the transition and teach out general direction will require a both a superseded and replacement qualification/s to be on the RTO scope concurrently until students are transitioned into the replacement qualification.</w:t>
      </w:r>
    </w:p>
    <w:p w:rsidR="001B3D55" w:rsidRDefault="001B3D55" w:rsidP="001B3D55">
      <w:pPr>
        <w:rPr>
          <w:rStyle w:val="IntenseEmphasis"/>
          <w:b w:val="0"/>
          <w:i w:val="0"/>
          <w:color w:val="auto"/>
        </w:rPr>
      </w:pPr>
    </w:p>
    <w:p w:rsidR="001B3D55" w:rsidRDefault="001B3D55" w:rsidP="001B3D55">
      <w:pPr>
        <w:rPr>
          <w:rStyle w:val="IntenseEmphasis"/>
          <w:b w:val="0"/>
          <w:i w:val="0"/>
          <w:color w:val="auto"/>
        </w:rPr>
      </w:pPr>
      <w:r>
        <w:rPr>
          <w:rStyle w:val="IntenseEmphasis"/>
          <w:b w:val="0"/>
          <w:i w:val="0"/>
          <w:color w:val="auto"/>
        </w:rPr>
        <w:t>The Directorate can assist RTOs with this process to check first if the qualifications/units of competency are appropriate for removal before the RTO submits the application to ASQA.</w:t>
      </w:r>
    </w:p>
    <w:p w:rsidR="00D32ED3" w:rsidRDefault="00D32ED3" w:rsidP="001B3D55">
      <w:pPr>
        <w:rPr>
          <w:rStyle w:val="IntenseEmphasis"/>
          <w:i w:val="0"/>
          <w:color w:val="auto"/>
        </w:rPr>
      </w:pPr>
    </w:p>
    <w:p w:rsidR="00D32ED3" w:rsidRPr="001C4B2D" w:rsidRDefault="00D32ED3" w:rsidP="001B3D55">
      <w:pPr>
        <w:rPr>
          <w:rStyle w:val="IntenseEmphasis"/>
          <w:i w:val="0"/>
          <w:color w:val="auto"/>
        </w:rPr>
      </w:pPr>
    </w:p>
    <w:p w:rsidR="001C4B2D" w:rsidRPr="001C4B2D" w:rsidRDefault="001C4B2D" w:rsidP="001C4B2D">
      <w:pPr>
        <w:pStyle w:val="ListParagraph"/>
        <w:numPr>
          <w:ilvl w:val="0"/>
          <w:numId w:val="2"/>
        </w:numPr>
        <w:rPr>
          <w:rStyle w:val="IntenseEmphasis"/>
          <w:i w:val="0"/>
          <w:color w:val="auto"/>
        </w:rPr>
      </w:pPr>
      <w:r w:rsidRPr="001C4B2D">
        <w:rPr>
          <w:rStyle w:val="IntenseEmphasis"/>
          <w:i w:val="0"/>
          <w:color w:val="auto"/>
        </w:rPr>
        <w:t xml:space="preserve">Developing Regional TAS’s </w:t>
      </w:r>
    </w:p>
    <w:p w:rsidR="001C4B2D" w:rsidRDefault="001C4B2D" w:rsidP="001C4B2D">
      <w:pPr>
        <w:rPr>
          <w:rStyle w:val="IntenseEmphasis"/>
          <w:b w:val="0"/>
          <w:i w:val="0"/>
          <w:color w:val="auto"/>
        </w:rPr>
      </w:pPr>
    </w:p>
    <w:p w:rsidR="00D32ED3" w:rsidRDefault="001C4B2D" w:rsidP="00D32ED3">
      <w:pPr>
        <w:jc w:val="both"/>
        <w:rPr>
          <w:rStyle w:val="IntenseEmphasis"/>
          <w:b w:val="0"/>
          <w:i w:val="0"/>
          <w:color w:val="auto"/>
        </w:rPr>
      </w:pPr>
      <w:r>
        <w:rPr>
          <w:rStyle w:val="IntenseEmphasis"/>
          <w:b w:val="0"/>
          <w:i w:val="0"/>
          <w:color w:val="auto"/>
        </w:rPr>
        <w:t>During our many conversations and d</w:t>
      </w:r>
      <w:r w:rsidR="00C93E66">
        <w:rPr>
          <w:rStyle w:val="IntenseEmphasis"/>
          <w:b w:val="0"/>
          <w:i w:val="0"/>
          <w:color w:val="auto"/>
        </w:rPr>
        <w:t>iscussions with industry representatives</w:t>
      </w:r>
      <w:r>
        <w:rPr>
          <w:rStyle w:val="IntenseEmphasis"/>
          <w:b w:val="0"/>
          <w:i w:val="0"/>
          <w:color w:val="auto"/>
        </w:rPr>
        <w:t xml:space="preserve"> it has been identified that there is an opportunity to engage industry in the development of the Regional TAS’s to better meet the local industry needs for potential employees gaining entry level VET qualifications whilst still at school.</w:t>
      </w:r>
      <w:r w:rsidR="00D32ED3">
        <w:rPr>
          <w:rStyle w:val="IntenseEmphasis"/>
          <w:b w:val="0"/>
          <w:i w:val="0"/>
          <w:color w:val="auto"/>
        </w:rPr>
        <w:t xml:space="preserve"> The Directorate is seeking your advice regarding any examples of where this may already be occurring in your region or how this may be possible in the future. </w:t>
      </w:r>
    </w:p>
    <w:p w:rsidR="001C4B2D" w:rsidRDefault="00D32ED3" w:rsidP="00D32ED3">
      <w:pPr>
        <w:jc w:val="both"/>
        <w:rPr>
          <w:rStyle w:val="IntenseEmphasis"/>
          <w:b w:val="0"/>
          <w:i w:val="0"/>
          <w:color w:val="auto"/>
        </w:rPr>
      </w:pPr>
      <w:r>
        <w:rPr>
          <w:rStyle w:val="IntenseEmphasis"/>
          <w:b w:val="0"/>
          <w:i w:val="0"/>
          <w:color w:val="auto"/>
        </w:rPr>
        <w:t xml:space="preserve">Please contact Robyn Pemberton on telephone 02 9244 5257 or email </w:t>
      </w:r>
      <w:hyperlink r:id="rId10" w:history="1">
        <w:r w:rsidRPr="00722B25">
          <w:rPr>
            <w:rStyle w:val="Hyperlink"/>
          </w:rPr>
          <w:t>robyn.pemberton@det.nsw.edu.au</w:t>
        </w:r>
      </w:hyperlink>
      <w:r>
        <w:rPr>
          <w:rStyle w:val="IntenseEmphasis"/>
          <w:b w:val="0"/>
          <w:i w:val="0"/>
          <w:color w:val="auto"/>
        </w:rPr>
        <w:t xml:space="preserve"> if you wish to discuss further.</w:t>
      </w:r>
    </w:p>
    <w:p w:rsidR="001C4B2D" w:rsidRDefault="001C4B2D" w:rsidP="001C4B2D">
      <w:pPr>
        <w:rPr>
          <w:rStyle w:val="IntenseEmphasis"/>
          <w:b w:val="0"/>
          <w:i w:val="0"/>
          <w:color w:val="auto"/>
        </w:rPr>
      </w:pPr>
    </w:p>
    <w:p w:rsidR="004D0F8E" w:rsidRDefault="004D0F8E" w:rsidP="001C4B2D">
      <w:pPr>
        <w:rPr>
          <w:rStyle w:val="IntenseEmphasis"/>
          <w:b w:val="0"/>
          <w:i w:val="0"/>
          <w:color w:val="auto"/>
        </w:rPr>
      </w:pPr>
    </w:p>
    <w:p w:rsidR="004D0F8E" w:rsidRPr="004D0F8E" w:rsidRDefault="004D0F8E" w:rsidP="004D0F8E">
      <w:pPr>
        <w:pStyle w:val="ListParagraph"/>
        <w:numPr>
          <w:ilvl w:val="0"/>
          <w:numId w:val="2"/>
        </w:numPr>
        <w:rPr>
          <w:rStyle w:val="IntenseEmphasis"/>
          <w:i w:val="0"/>
          <w:color w:val="auto"/>
        </w:rPr>
      </w:pPr>
      <w:r w:rsidRPr="004D0F8E">
        <w:rPr>
          <w:rStyle w:val="IntenseEmphasis"/>
          <w:i w:val="0"/>
          <w:color w:val="auto"/>
        </w:rPr>
        <w:t xml:space="preserve">VET Teacher Training – Semester 1 2012 Orientation </w:t>
      </w:r>
    </w:p>
    <w:p w:rsidR="004D0F8E" w:rsidRDefault="004D0F8E" w:rsidP="005B003E">
      <w:pPr>
        <w:jc w:val="both"/>
        <w:rPr>
          <w:rStyle w:val="IntenseEmphasis"/>
          <w:b w:val="0"/>
          <w:i w:val="0"/>
          <w:color w:val="auto"/>
        </w:rPr>
      </w:pPr>
    </w:p>
    <w:p w:rsidR="004D0F8E" w:rsidRDefault="004D0F8E" w:rsidP="005B003E">
      <w:pPr>
        <w:jc w:val="both"/>
        <w:rPr>
          <w:rStyle w:val="IntenseEmphasis"/>
          <w:b w:val="0"/>
          <w:i w:val="0"/>
          <w:color w:val="auto"/>
        </w:rPr>
      </w:pPr>
      <w:r>
        <w:rPr>
          <w:rStyle w:val="IntenseEmphasis"/>
          <w:b w:val="0"/>
          <w:i w:val="0"/>
          <w:color w:val="auto"/>
        </w:rPr>
        <w:t>The VET Teacher Training team are currently gearing up this week for the Semester 1 2012 Orientation.</w:t>
      </w:r>
    </w:p>
    <w:p w:rsidR="004D0F8E" w:rsidRDefault="004D0F8E" w:rsidP="005B003E">
      <w:pPr>
        <w:jc w:val="both"/>
        <w:rPr>
          <w:rStyle w:val="IntenseEmphasis"/>
          <w:b w:val="0"/>
          <w:i w:val="0"/>
          <w:color w:val="auto"/>
        </w:rPr>
      </w:pPr>
    </w:p>
    <w:p w:rsidR="004D0F8E" w:rsidRDefault="004D0F8E" w:rsidP="005B003E">
      <w:pPr>
        <w:jc w:val="both"/>
        <w:rPr>
          <w:rStyle w:val="IntenseEmphasis"/>
          <w:b w:val="0"/>
          <w:i w:val="0"/>
          <w:color w:val="auto"/>
        </w:rPr>
      </w:pPr>
      <w:r>
        <w:rPr>
          <w:rStyle w:val="IntenseEmphasis"/>
          <w:b w:val="0"/>
          <w:i w:val="0"/>
          <w:color w:val="auto"/>
        </w:rPr>
        <w:t xml:space="preserve">Orientation commences on </w:t>
      </w:r>
      <w:r w:rsidRPr="008A03B7">
        <w:rPr>
          <w:rStyle w:val="IntenseEmphasis"/>
          <w:i w:val="0"/>
          <w:color w:val="auto"/>
        </w:rPr>
        <w:t>Monday 12</w:t>
      </w:r>
      <w:r w:rsidRPr="008A03B7">
        <w:rPr>
          <w:rStyle w:val="IntenseEmphasis"/>
          <w:i w:val="0"/>
          <w:color w:val="auto"/>
          <w:vertAlign w:val="superscript"/>
        </w:rPr>
        <w:t>th</w:t>
      </w:r>
      <w:r w:rsidRPr="008A03B7">
        <w:rPr>
          <w:rStyle w:val="IntenseEmphasis"/>
          <w:i w:val="0"/>
          <w:color w:val="auto"/>
        </w:rPr>
        <w:t xml:space="preserve"> March 2012 and concludes on Thursday 22</w:t>
      </w:r>
      <w:r w:rsidRPr="008A03B7">
        <w:rPr>
          <w:rStyle w:val="IntenseEmphasis"/>
          <w:i w:val="0"/>
          <w:color w:val="auto"/>
          <w:vertAlign w:val="superscript"/>
        </w:rPr>
        <w:t>nd</w:t>
      </w:r>
      <w:r w:rsidRPr="008A03B7">
        <w:rPr>
          <w:rStyle w:val="IntenseEmphasis"/>
          <w:i w:val="0"/>
          <w:color w:val="auto"/>
        </w:rPr>
        <w:t xml:space="preserve"> March</w:t>
      </w:r>
      <w:r>
        <w:rPr>
          <w:rStyle w:val="IntenseEmphasis"/>
          <w:b w:val="0"/>
          <w:i w:val="0"/>
          <w:color w:val="auto"/>
        </w:rPr>
        <w:t xml:space="preserve">. </w:t>
      </w:r>
      <w:r w:rsidR="008A03B7">
        <w:rPr>
          <w:rStyle w:val="IntenseEmphasis"/>
          <w:b w:val="0"/>
          <w:i w:val="0"/>
          <w:color w:val="auto"/>
        </w:rPr>
        <w:t>The venue has changed this semester and is now at the Bayview Boulevard Sydney, 90 William Street Sydney.</w:t>
      </w:r>
    </w:p>
    <w:p w:rsidR="008A03B7" w:rsidRDefault="008A03B7" w:rsidP="005B003E">
      <w:pPr>
        <w:jc w:val="both"/>
        <w:rPr>
          <w:rStyle w:val="IntenseEmphasis"/>
          <w:b w:val="0"/>
          <w:i w:val="0"/>
          <w:color w:val="auto"/>
        </w:rPr>
      </w:pPr>
    </w:p>
    <w:p w:rsidR="008A03B7" w:rsidRDefault="005B003E" w:rsidP="005B003E">
      <w:pPr>
        <w:jc w:val="both"/>
        <w:rPr>
          <w:rStyle w:val="IntenseEmphasis"/>
          <w:b w:val="0"/>
          <w:i w:val="0"/>
          <w:color w:val="auto"/>
        </w:rPr>
      </w:pPr>
      <w:r>
        <w:rPr>
          <w:rStyle w:val="IntenseEmphasis"/>
          <w:b w:val="0"/>
          <w:i w:val="0"/>
          <w:color w:val="auto"/>
        </w:rPr>
        <w:t xml:space="preserve">Please contact Debbie Nilsson on telephone 02 9266 8966 or email </w:t>
      </w:r>
      <w:hyperlink r:id="rId11" w:history="1">
        <w:r w:rsidRPr="00722B25">
          <w:rPr>
            <w:rStyle w:val="Hyperlink"/>
          </w:rPr>
          <w:t>debbie.nilsson@det.nsw.edu.au</w:t>
        </w:r>
      </w:hyperlink>
      <w:r>
        <w:rPr>
          <w:rStyle w:val="IntenseEmphasis"/>
          <w:b w:val="0"/>
          <w:i w:val="0"/>
          <w:color w:val="auto"/>
        </w:rPr>
        <w:t xml:space="preserve"> if you have any queries regarding VET Teacher Training.</w:t>
      </w:r>
    </w:p>
    <w:p w:rsidR="00940277" w:rsidRDefault="00940277" w:rsidP="005B003E">
      <w:pPr>
        <w:jc w:val="both"/>
        <w:rPr>
          <w:rStyle w:val="IntenseEmphasis"/>
          <w:b w:val="0"/>
          <w:i w:val="0"/>
          <w:color w:val="auto"/>
        </w:rPr>
      </w:pPr>
    </w:p>
    <w:p w:rsidR="00940277" w:rsidRDefault="00940277" w:rsidP="00940277">
      <w:pPr>
        <w:pStyle w:val="ListParagraph"/>
        <w:numPr>
          <w:ilvl w:val="0"/>
          <w:numId w:val="2"/>
        </w:numPr>
        <w:jc w:val="both"/>
        <w:rPr>
          <w:rStyle w:val="IntenseEmphasis"/>
          <w:i w:val="0"/>
          <w:color w:val="auto"/>
        </w:rPr>
      </w:pPr>
      <w:r w:rsidRPr="00940277">
        <w:rPr>
          <w:rStyle w:val="IntenseEmphasis"/>
          <w:i w:val="0"/>
          <w:color w:val="auto"/>
        </w:rPr>
        <w:t>State VET in Schools World Skills Competition 2012</w:t>
      </w:r>
    </w:p>
    <w:p w:rsidR="00940277" w:rsidRDefault="00940277" w:rsidP="00940277">
      <w:pPr>
        <w:jc w:val="both"/>
        <w:rPr>
          <w:rStyle w:val="IntenseEmphasis"/>
          <w:i w:val="0"/>
          <w:color w:val="auto"/>
        </w:rPr>
      </w:pPr>
    </w:p>
    <w:p w:rsidR="00940277" w:rsidRDefault="00940277" w:rsidP="00940277">
      <w:pPr>
        <w:jc w:val="both"/>
        <w:rPr>
          <w:rStyle w:val="IntenseEmphasis"/>
          <w:b w:val="0"/>
          <w:i w:val="0"/>
          <w:color w:val="auto"/>
        </w:rPr>
      </w:pPr>
      <w:r>
        <w:rPr>
          <w:rStyle w:val="IntenseEmphasis"/>
          <w:b w:val="0"/>
          <w:i w:val="0"/>
          <w:color w:val="auto"/>
        </w:rPr>
        <w:t xml:space="preserve">The State VET in Schools World Skills Competition 2012 is coming up very soon on the </w:t>
      </w:r>
      <w:r w:rsidRPr="002D5AE8">
        <w:rPr>
          <w:rStyle w:val="IntenseEmphasis"/>
          <w:i w:val="0"/>
          <w:color w:val="auto"/>
        </w:rPr>
        <w:t>16</w:t>
      </w:r>
      <w:r w:rsidRPr="002D5AE8">
        <w:rPr>
          <w:rStyle w:val="IntenseEmphasis"/>
          <w:i w:val="0"/>
          <w:color w:val="auto"/>
          <w:vertAlign w:val="superscript"/>
        </w:rPr>
        <w:t>th</w:t>
      </w:r>
      <w:r w:rsidRPr="002D5AE8">
        <w:rPr>
          <w:rStyle w:val="IntenseEmphasis"/>
          <w:i w:val="0"/>
          <w:color w:val="auto"/>
        </w:rPr>
        <w:t xml:space="preserve"> and 17</w:t>
      </w:r>
      <w:r w:rsidRPr="002D5AE8">
        <w:rPr>
          <w:rStyle w:val="IntenseEmphasis"/>
          <w:i w:val="0"/>
          <w:color w:val="auto"/>
          <w:vertAlign w:val="superscript"/>
        </w:rPr>
        <w:t>th</w:t>
      </w:r>
      <w:r w:rsidRPr="002D5AE8">
        <w:rPr>
          <w:rStyle w:val="IntenseEmphasis"/>
          <w:i w:val="0"/>
          <w:color w:val="auto"/>
        </w:rPr>
        <w:t xml:space="preserve"> March</w:t>
      </w:r>
      <w:r w:rsidR="002D5AE8" w:rsidRPr="002D5AE8">
        <w:rPr>
          <w:rStyle w:val="IntenseEmphasis"/>
          <w:i w:val="0"/>
          <w:color w:val="auto"/>
        </w:rPr>
        <w:t xml:space="preserve"> 2012</w:t>
      </w:r>
      <w:r>
        <w:rPr>
          <w:rStyle w:val="IntenseEmphasis"/>
          <w:b w:val="0"/>
          <w:i w:val="0"/>
          <w:color w:val="auto"/>
        </w:rPr>
        <w:t xml:space="preserve"> across a number of venues in Sydney. Margaret Broun, Coordinator, VET in Schools has dedicated an enormous amount of time and energy </w:t>
      </w:r>
      <w:r>
        <w:rPr>
          <w:rStyle w:val="IntenseEmphasis"/>
          <w:b w:val="0"/>
          <w:i w:val="0"/>
          <w:color w:val="auto"/>
        </w:rPr>
        <w:lastRenderedPageBreak/>
        <w:t xml:space="preserve">into coordinating this event and we wish all </w:t>
      </w:r>
      <w:r w:rsidR="00923C81">
        <w:rPr>
          <w:rStyle w:val="IntenseEmphasis"/>
          <w:b w:val="0"/>
          <w:i w:val="0"/>
          <w:color w:val="auto"/>
        </w:rPr>
        <w:t xml:space="preserve">the </w:t>
      </w:r>
      <w:r>
        <w:rPr>
          <w:rStyle w:val="IntenseEmphasis"/>
          <w:b w:val="0"/>
          <w:i w:val="0"/>
          <w:color w:val="auto"/>
        </w:rPr>
        <w:t>competitors the very best for a great competition.</w:t>
      </w:r>
    </w:p>
    <w:p w:rsidR="00940277" w:rsidRPr="00940277" w:rsidRDefault="00940277" w:rsidP="00940277">
      <w:pPr>
        <w:jc w:val="both"/>
        <w:rPr>
          <w:rStyle w:val="IntenseEmphasis"/>
          <w:b w:val="0"/>
          <w:i w:val="0"/>
          <w:color w:val="auto"/>
        </w:rPr>
      </w:pPr>
      <w:r>
        <w:rPr>
          <w:rStyle w:val="IntenseEmphasis"/>
          <w:b w:val="0"/>
          <w:i w:val="0"/>
          <w:color w:val="auto"/>
        </w:rPr>
        <w:t xml:space="preserve">Please contact Margaret Broun on telephone 02 9244 5053 or email </w:t>
      </w:r>
      <w:hyperlink r:id="rId12" w:history="1">
        <w:r w:rsidR="002D5AE8" w:rsidRPr="00722B25">
          <w:rPr>
            <w:rStyle w:val="Hyperlink"/>
          </w:rPr>
          <w:t>margaret.broun@det.nsw.edu.au</w:t>
        </w:r>
      </w:hyperlink>
      <w:r>
        <w:rPr>
          <w:rStyle w:val="IntenseEmphasis"/>
          <w:b w:val="0"/>
          <w:i w:val="0"/>
          <w:color w:val="auto"/>
        </w:rPr>
        <w:t xml:space="preserve"> if you have any queries regarding World Skills.</w:t>
      </w:r>
    </w:p>
    <w:sectPr w:rsidR="00940277" w:rsidRPr="00940277" w:rsidSect="00FD0293">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714E3680"/>
    <w:lvl w:ilvl="0">
      <w:start w:val="1"/>
      <w:numFmt w:val="bullet"/>
      <w:pStyle w:val="ListBullet"/>
      <w:lvlText w:val="●"/>
      <w:lvlJc w:val="left"/>
      <w:pPr>
        <w:tabs>
          <w:tab w:val="num" w:pos="360"/>
        </w:tabs>
        <w:ind w:left="360" w:hanging="360"/>
      </w:pPr>
      <w:rPr>
        <w:rFonts w:ascii="Arial" w:hAnsi="Arial" w:hint="default"/>
      </w:rPr>
    </w:lvl>
  </w:abstractNum>
  <w:abstractNum w:abstractNumId="1">
    <w:nsid w:val="17C64D9C"/>
    <w:multiLevelType w:val="hybridMultilevel"/>
    <w:tmpl w:val="2800E5AA"/>
    <w:lvl w:ilvl="0" w:tplc="0C09000F">
      <w:start w:val="1"/>
      <w:numFmt w:val="decimal"/>
      <w:lvlText w:val="%1."/>
      <w:lvlJc w:val="left"/>
      <w:pPr>
        <w:ind w:left="720" w:hanging="360"/>
      </w:pPr>
      <w:rPr>
        <w:rFonts w:hint="default"/>
      </w:rPr>
    </w:lvl>
    <w:lvl w:ilvl="1" w:tplc="4B44E18C">
      <w:start w:val="1"/>
      <w:numFmt w:val="lowerLetter"/>
      <w:lvlText w:val="%2."/>
      <w:lvlJc w:val="left"/>
      <w:pPr>
        <w:ind w:left="1440" w:hanging="360"/>
      </w:pPr>
      <w:rPr>
        <w:b w:val="0"/>
        <w:i w:val="0"/>
      </w:r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43CC204B"/>
    <w:multiLevelType w:val="hybridMultilevel"/>
    <w:tmpl w:val="4ED01790"/>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
    <w:nsid w:val="49713C1A"/>
    <w:multiLevelType w:val="hybridMultilevel"/>
    <w:tmpl w:val="06F64982"/>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6ACD008B"/>
    <w:multiLevelType w:val="hybridMultilevel"/>
    <w:tmpl w:val="12B85BC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7C9B0949"/>
    <w:multiLevelType w:val="hybridMultilevel"/>
    <w:tmpl w:val="C0785BF0"/>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num w:numId="1">
    <w:abstractNumId w:val="1"/>
  </w:num>
  <w:num w:numId="2">
    <w:abstractNumId w:val="3"/>
  </w:num>
  <w:num w:numId="3">
    <w:abstractNumId w:val="0"/>
  </w:num>
  <w:num w:numId="4">
    <w:abstractNumId w:val="5"/>
  </w:num>
  <w:num w:numId="5">
    <w:abstractNumId w:val="2"/>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characterSpacingControl w:val="doNotCompress"/>
  <w:compat/>
  <w:rsids>
    <w:rsidRoot w:val="008F5328"/>
    <w:rsid w:val="00001335"/>
    <w:rsid w:val="00004ABA"/>
    <w:rsid w:val="000054A7"/>
    <w:rsid w:val="00006586"/>
    <w:rsid w:val="00007015"/>
    <w:rsid w:val="0001416A"/>
    <w:rsid w:val="0001599A"/>
    <w:rsid w:val="00015E42"/>
    <w:rsid w:val="000160E1"/>
    <w:rsid w:val="00016AF4"/>
    <w:rsid w:val="00017453"/>
    <w:rsid w:val="00020A17"/>
    <w:rsid w:val="00027D47"/>
    <w:rsid w:val="00030D82"/>
    <w:rsid w:val="00032483"/>
    <w:rsid w:val="000334D1"/>
    <w:rsid w:val="0003460A"/>
    <w:rsid w:val="00041E87"/>
    <w:rsid w:val="00047555"/>
    <w:rsid w:val="000503FF"/>
    <w:rsid w:val="000508FB"/>
    <w:rsid w:val="00052C7E"/>
    <w:rsid w:val="00054048"/>
    <w:rsid w:val="0005452F"/>
    <w:rsid w:val="00056C69"/>
    <w:rsid w:val="00061D90"/>
    <w:rsid w:val="000634A9"/>
    <w:rsid w:val="00065917"/>
    <w:rsid w:val="000710D7"/>
    <w:rsid w:val="00072BF7"/>
    <w:rsid w:val="00072C5C"/>
    <w:rsid w:val="00073084"/>
    <w:rsid w:val="00073F94"/>
    <w:rsid w:val="00075F5C"/>
    <w:rsid w:val="00077674"/>
    <w:rsid w:val="0007788D"/>
    <w:rsid w:val="00077BE8"/>
    <w:rsid w:val="00084247"/>
    <w:rsid w:val="0008530F"/>
    <w:rsid w:val="00085704"/>
    <w:rsid w:val="00086AD4"/>
    <w:rsid w:val="00087805"/>
    <w:rsid w:val="00090742"/>
    <w:rsid w:val="00090787"/>
    <w:rsid w:val="00090C2E"/>
    <w:rsid w:val="00090DA8"/>
    <w:rsid w:val="00095AE2"/>
    <w:rsid w:val="0009618F"/>
    <w:rsid w:val="000966A6"/>
    <w:rsid w:val="00097FD6"/>
    <w:rsid w:val="000A010E"/>
    <w:rsid w:val="000A38E3"/>
    <w:rsid w:val="000A4C93"/>
    <w:rsid w:val="000A6EFB"/>
    <w:rsid w:val="000B152F"/>
    <w:rsid w:val="000B2D30"/>
    <w:rsid w:val="000B3EBF"/>
    <w:rsid w:val="000B4D66"/>
    <w:rsid w:val="000C1287"/>
    <w:rsid w:val="000C39E0"/>
    <w:rsid w:val="000C493A"/>
    <w:rsid w:val="000C5127"/>
    <w:rsid w:val="000C6C0A"/>
    <w:rsid w:val="000C6C41"/>
    <w:rsid w:val="000C793C"/>
    <w:rsid w:val="000D10D3"/>
    <w:rsid w:val="000D3AE7"/>
    <w:rsid w:val="000D57C1"/>
    <w:rsid w:val="000E0D34"/>
    <w:rsid w:val="000E1363"/>
    <w:rsid w:val="000E6A32"/>
    <w:rsid w:val="000F25EF"/>
    <w:rsid w:val="000F45A2"/>
    <w:rsid w:val="000F668A"/>
    <w:rsid w:val="000F672D"/>
    <w:rsid w:val="000F6B9C"/>
    <w:rsid w:val="000F6EA6"/>
    <w:rsid w:val="000F6F0D"/>
    <w:rsid w:val="00104383"/>
    <w:rsid w:val="00105854"/>
    <w:rsid w:val="00105DCA"/>
    <w:rsid w:val="00106C8B"/>
    <w:rsid w:val="0011244E"/>
    <w:rsid w:val="00112EA7"/>
    <w:rsid w:val="0011453C"/>
    <w:rsid w:val="00114839"/>
    <w:rsid w:val="00115DD0"/>
    <w:rsid w:val="00116469"/>
    <w:rsid w:val="001262D8"/>
    <w:rsid w:val="001265B3"/>
    <w:rsid w:val="00126D83"/>
    <w:rsid w:val="00140CBE"/>
    <w:rsid w:val="0014103C"/>
    <w:rsid w:val="001537C3"/>
    <w:rsid w:val="00154059"/>
    <w:rsid w:val="001557D2"/>
    <w:rsid w:val="001636C4"/>
    <w:rsid w:val="001655DF"/>
    <w:rsid w:val="00165A0D"/>
    <w:rsid w:val="00165F2B"/>
    <w:rsid w:val="0016645F"/>
    <w:rsid w:val="001727D9"/>
    <w:rsid w:val="00174EFA"/>
    <w:rsid w:val="0017783E"/>
    <w:rsid w:val="00180968"/>
    <w:rsid w:val="00185898"/>
    <w:rsid w:val="00185A1E"/>
    <w:rsid w:val="00190E0B"/>
    <w:rsid w:val="001919A1"/>
    <w:rsid w:val="001942AD"/>
    <w:rsid w:val="001A1A3F"/>
    <w:rsid w:val="001A5650"/>
    <w:rsid w:val="001B19A7"/>
    <w:rsid w:val="001B2F13"/>
    <w:rsid w:val="001B3891"/>
    <w:rsid w:val="001B3D55"/>
    <w:rsid w:val="001B6505"/>
    <w:rsid w:val="001B6913"/>
    <w:rsid w:val="001B77E7"/>
    <w:rsid w:val="001C06B9"/>
    <w:rsid w:val="001C3619"/>
    <w:rsid w:val="001C4B2D"/>
    <w:rsid w:val="001C4CAF"/>
    <w:rsid w:val="001C6152"/>
    <w:rsid w:val="001D1084"/>
    <w:rsid w:val="001D17FB"/>
    <w:rsid w:val="001D20A2"/>
    <w:rsid w:val="001D6C28"/>
    <w:rsid w:val="001E232A"/>
    <w:rsid w:val="001E2593"/>
    <w:rsid w:val="001E518F"/>
    <w:rsid w:val="001F04EE"/>
    <w:rsid w:val="001F31E4"/>
    <w:rsid w:val="001F3FA9"/>
    <w:rsid w:val="001F593B"/>
    <w:rsid w:val="001F6577"/>
    <w:rsid w:val="001F6926"/>
    <w:rsid w:val="001F6C67"/>
    <w:rsid w:val="00200B75"/>
    <w:rsid w:val="0020275F"/>
    <w:rsid w:val="00203FE1"/>
    <w:rsid w:val="00204120"/>
    <w:rsid w:val="00204730"/>
    <w:rsid w:val="0020785E"/>
    <w:rsid w:val="002102B0"/>
    <w:rsid w:val="002106D1"/>
    <w:rsid w:val="00224262"/>
    <w:rsid w:val="0022741A"/>
    <w:rsid w:val="00227728"/>
    <w:rsid w:val="00230F7A"/>
    <w:rsid w:val="00231D46"/>
    <w:rsid w:val="00232078"/>
    <w:rsid w:val="00232B2C"/>
    <w:rsid w:val="002330B4"/>
    <w:rsid w:val="00235990"/>
    <w:rsid w:val="00240A83"/>
    <w:rsid w:val="0025040A"/>
    <w:rsid w:val="00250CE7"/>
    <w:rsid w:val="00250F2F"/>
    <w:rsid w:val="002512F1"/>
    <w:rsid w:val="00251634"/>
    <w:rsid w:val="00251666"/>
    <w:rsid w:val="00251F8C"/>
    <w:rsid w:val="0025325F"/>
    <w:rsid w:val="00265C36"/>
    <w:rsid w:val="00281361"/>
    <w:rsid w:val="002834E3"/>
    <w:rsid w:val="00283C02"/>
    <w:rsid w:val="002843B1"/>
    <w:rsid w:val="0029027F"/>
    <w:rsid w:val="00292BCC"/>
    <w:rsid w:val="00293B0E"/>
    <w:rsid w:val="002A3413"/>
    <w:rsid w:val="002A3EC5"/>
    <w:rsid w:val="002B3AD8"/>
    <w:rsid w:val="002B5EC6"/>
    <w:rsid w:val="002B75DE"/>
    <w:rsid w:val="002C112D"/>
    <w:rsid w:val="002C2633"/>
    <w:rsid w:val="002C44AD"/>
    <w:rsid w:val="002C500F"/>
    <w:rsid w:val="002D08C5"/>
    <w:rsid w:val="002D369C"/>
    <w:rsid w:val="002D54C3"/>
    <w:rsid w:val="002D5AE8"/>
    <w:rsid w:val="002E166F"/>
    <w:rsid w:val="002E1D0D"/>
    <w:rsid w:val="002E5CAF"/>
    <w:rsid w:val="002E5EAB"/>
    <w:rsid w:val="002F2944"/>
    <w:rsid w:val="002F32CA"/>
    <w:rsid w:val="002F578A"/>
    <w:rsid w:val="002F5CC5"/>
    <w:rsid w:val="002F6404"/>
    <w:rsid w:val="002F67A6"/>
    <w:rsid w:val="002F7536"/>
    <w:rsid w:val="002F7A12"/>
    <w:rsid w:val="00300ACC"/>
    <w:rsid w:val="00302D23"/>
    <w:rsid w:val="00307C20"/>
    <w:rsid w:val="00311925"/>
    <w:rsid w:val="00315D17"/>
    <w:rsid w:val="00321A58"/>
    <w:rsid w:val="00322400"/>
    <w:rsid w:val="00322A5A"/>
    <w:rsid w:val="00324B9E"/>
    <w:rsid w:val="00327B38"/>
    <w:rsid w:val="00333C6C"/>
    <w:rsid w:val="00334465"/>
    <w:rsid w:val="00334EDA"/>
    <w:rsid w:val="003407C7"/>
    <w:rsid w:val="00342C3D"/>
    <w:rsid w:val="00344613"/>
    <w:rsid w:val="003454E6"/>
    <w:rsid w:val="00350D3F"/>
    <w:rsid w:val="003555A9"/>
    <w:rsid w:val="0037129F"/>
    <w:rsid w:val="00377D35"/>
    <w:rsid w:val="00380285"/>
    <w:rsid w:val="003849BA"/>
    <w:rsid w:val="00387DAA"/>
    <w:rsid w:val="00391246"/>
    <w:rsid w:val="00391255"/>
    <w:rsid w:val="003913A8"/>
    <w:rsid w:val="00392955"/>
    <w:rsid w:val="00395023"/>
    <w:rsid w:val="003967C0"/>
    <w:rsid w:val="00396A80"/>
    <w:rsid w:val="00396AD4"/>
    <w:rsid w:val="003A2698"/>
    <w:rsid w:val="003A2C6E"/>
    <w:rsid w:val="003A4054"/>
    <w:rsid w:val="003A5F25"/>
    <w:rsid w:val="003C083B"/>
    <w:rsid w:val="003C32F8"/>
    <w:rsid w:val="003C55B2"/>
    <w:rsid w:val="003D0813"/>
    <w:rsid w:val="003D0C06"/>
    <w:rsid w:val="003E7059"/>
    <w:rsid w:val="003F09DA"/>
    <w:rsid w:val="003F3D08"/>
    <w:rsid w:val="003F5B25"/>
    <w:rsid w:val="003F5E1C"/>
    <w:rsid w:val="003F773D"/>
    <w:rsid w:val="00401D11"/>
    <w:rsid w:val="00407D55"/>
    <w:rsid w:val="00414297"/>
    <w:rsid w:val="00425546"/>
    <w:rsid w:val="00425E58"/>
    <w:rsid w:val="00426894"/>
    <w:rsid w:val="00427CC2"/>
    <w:rsid w:val="00431DE9"/>
    <w:rsid w:val="00431EA1"/>
    <w:rsid w:val="00434065"/>
    <w:rsid w:val="004365F6"/>
    <w:rsid w:val="00441424"/>
    <w:rsid w:val="004561E7"/>
    <w:rsid w:val="00456340"/>
    <w:rsid w:val="00456A77"/>
    <w:rsid w:val="00466385"/>
    <w:rsid w:val="00470360"/>
    <w:rsid w:val="00472436"/>
    <w:rsid w:val="0047285B"/>
    <w:rsid w:val="00474006"/>
    <w:rsid w:val="00475F85"/>
    <w:rsid w:val="00482407"/>
    <w:rsid w:val="00484B42"/>
    <w:rsid w:val="00486AEB"/>
    <w:rsid w:val="00487497"/>
    <w:rsid w:val="00487E84"/>
    <w:rsid w:val="004921A5"/>
    <w:rsid w:val="00492FB3"/>
    <w:rsid w:val="00494CB3"/>
    <w:rsid w:val="004A0A68"/>
    <w:rsid w:val="004A4C84"/>
    <w:rsid w:val="004B2418"/>
    <w:rsid w:val="004B2669"/>
    <w:rsid w:val="004B2E33"/>
    <w:rsid w:val="004B3117"/>
    <w:rsid w:val="004B6A3A"/>
    <w:rsid w:val="004B7550"/>
    <w:rsid w:val="004C01DF"/>
    <w:rsid w:val="004C22DC"/>
    <w:rsid w:val="004C22F9"/>
    <w:rsid w:val="004C4326"/>
    <w:rsid w:val="004D0F8E"/>
    <w:rsid w:val="004D1A73"/>
    <w:rsid w:val="004D22BA"/>
    <w:rsid w:val="004D421E"/>
    <w:rsid w:val="004D51CB"/>
    <w:rsid w:val="004D7E36"/>
    <w:rsid w:val="004E2701"/>
    <w:rsid w:val="004E2DE3"/>
    <w:rsid w:val="004E5A19"/>
    <w:rsid w:val="004F079B"/>
    <w:rsid w:val="004F1C51"/>
    <w:rsid w:val="004F7C5B"/>
    <w:rsid w:val="00500583"/>
    <w:rsid w:val="0050183D"/>
    <w:rsid w:val="0050449F"/>
    <w:rsid w:val="0050463D"/>
    <w:rsid w:val="00505B69"/>
    <w:rsid w:val="00505F71"/>
    <w:rsid w:val="0050704E"/>
    <w:rsid w:val="00512258"/>
    <w:rsid w:val="00515C6A"/>
    <w:rsid w:val="0052001C"/>
    <w:rsid w:val="00520AD2"/>
    <w:rsid w:val="0052126A"/>
    <w:rsid w:val="00525EB7"/>
    <w:rsid w:val="00527BD9"/>
    <w:rsid w:val="00527D72"/>
    <w:rsid w:val="0053019D"/>
    <w:rsid w:val="005306EF"/>
    <w:rsid w:val="00531168"/>
    <w:rsid w:val="0053304E"/>
    <w:rsid w:val="005338E9"/>
    <w:rsid w:val="00534E6E"/>
    <w:rsid w:val="005350B1"/>
    <w:rsid w:val="00535F18"/>
    <w:rsid w:val="005416F9"/>
    <w:rsid w:val="005419C1"/>
    <w:rsid w:val="0054694A"/>
    <w:rsid w:val="00547461"/>
    <w:rsid w:val="0055053F"/>
    <w:rsid w:val="00553091"/>
    <w:rsid w:val="00553B82"/>
    <w:rsid w:val="005558AE"/>
    <w:rsid w:val="00555FEA"/>
    <w:rsid w:val="005577FC"/>
    <w:rsid w:val="005604FF"/>
    <w:rsid w:val="0056326B"/>
    <w:rsid w:val="00564754"/>
    <w:rsid w:val="005667C5"/>
    <w:rsid w:val="00575632"/>
    <w:rsid w:val="00576293"/>
    <w:rsid w:val="00581ED9"/>
    <w:rsid w:val="00584FDD"/>
    <w:rsid w:val="00586015"/>
    <w:rsid w:val="00587B7B"/>
    <w:rsid w:val="00591790"/>
    <w:rsid w:val="00595C22"/>
    <w:rsid w:val="005A09DC"/>
    <w:rsid w:val="005A0B59"/>
    <w:rsid w:val="005A4D03"/>
    <w:rsid w:val="005A69B5"/>
    <w:rsid w:val="005A717A"/>
    <w:rsid w:val="005A7A7D"/>
    <w:rsid w:val="005B003E"/>
    <w:rsid w:val="005B021B"/>
    <w:rsid w:val="005B0644"/>
    <w:rsid w:val="005B0B66"/>
    <w:rsid w:val="005B246F"/>
    <w:rsid w:val="005B39A1"/>
    <w:rsid w:val="005B3F72"/>
    <w:rsid w:val="005B4FB0"/>
    <w:rsid w:val="005B5B58"/>
    <w:rsid w:val="005B647D"/>
    <w:rsid w:val="005C0E0C"/>
    <w:rsid w:val="005C0F89"/>
    <w:rsid w:val="005C1175"/>
    <w:rsid w:val="005C32D3"/>
    <w:rsid w:val="005C3968"/>
    <w:rsid w:val="005D2D83"/>
    <w:rsid w:val="005D5BF2"/>
    <w:rsid w:val="005D5EFF"/>
    <w:rsid w:val="005D6253"/>
    <w:rsid w:val="005E2068"/>
    <w:rsid w:val="005E57A5"/>
    <w:rsid w:val="005E7853"/>
    <w:rsid w:val="005E7DD2"/>
    <w:rsid w:val="005F017B"/>
    <w:rsid w:val="005F1088"/>
    <w:rsid w:val="005F4009"/>
    <w:rsid w:val="005F48D3"/>
    <w:rsid w:val="005F56F8"/>
    <w:rsid w:val="005F6C93"/>
    <w:rsid w:val="005F7868"/>
    <w:rsid w:val="00602561"/>
    <w:rsid w:val="00605DB6"/>
    <w:rsid w:val="00614DE5"/>
    <w:rsid w:val="006171CF"/>
    <w:rsid w:val="00623F4F"/>
    <w:rsid w:val="00626DB5"/>
    <w:rsid w:val="0063035A"/>
    <w:rsid w:val="00633120"/>
    <w:rsid w:val="00633C27"/>
    <w:rsid w:val="00646120"/>
    <w:rsid w:val="0064631F"/>
    <w:rsid w:val="00646B8D"/>
    <w:rsid w:val="00647D52"/>
    <w:rsid w:val="00653267"/>
    <w:rsid w:val="006559E2"/>
    <w:rsid w:val="00656B1A"/>
    <w:rsid w:val="00657FE9"/>
    <w:rsid w:val="00660E06"/>
    <w:rsid w:val="006619C7"/>
    <w:rsid w:val="00670260"/>
    <w:rsid w:val="00672C16"/>
    <w:rsid w:val="006749D8"/>
    <w:rsid w:val="00681D5C"/>
    <w:rsid w:val="00686555"/>
    <w:rsid w:val="006877DF"/>
    <w:rsid w:val="0069193D"/>
    <w:rsid w:val="00693F75"/>
    <w:rsid w:val="00694D3C"/>
    <w:rsid w:val="00695EB2"/>
    <w:rsid w:val="00696155"/>
    <w:rsid w:val="00696C5E"/>
    <w:rsid w:val="006A2934"/>
    <w:rsid w:val="006A39FE"/>
    <w:rsid w:val="006A4A39"/>
    <w:rsid w:val="006A4CE4"/>
    <w:rsid w:val="006B1E9C"/>
    <w:rsid w:val="006B78B5"/>
    <w:rsid w:val="006C1E85"/>
    <w:rsid w:val="006C235A"/>
    <w:rsid w:val="006C2E91"/>
    <w:rsid w:val="006C3DA1"/>
    <w:rsid w:val="006C56C7"/>
    <w:rsid w:val="006C7135"/>
    <w:rsid w:val="006C7D2E"/>
    <w:rsid w:val="006D765C"/>
    <w:rsid w:val="006E1501"/>
    <w:rsid w:val="006E2F82"/>
    <w:rsid w:val="006E7445"/>
    <w:rsid w:val="006E76BB"/>
    <w:rsid w:val="006F21B3"/>
    <w:rsid w:val="006F47BA"/>
    <w:rsid w:val="007012B2"/>
    <w:rsid w:val="00702EA3"/>
    <w:rsid w:val="00703761"/>
    <w:rsid w:val="00707CB8"/>
    <w:rsid w:val="00710A49"/>
    <w:rsid w:val="00711E64"/>
    <w:rsid w:val="0072368E"/>
    <w:rsid w:val="007271BD"/>
    <w:rsid w:val="007271EC"/>
    <w:rsid w:val="00727854"/>
    <w:rsid w:val="00732544"/>
    <w:rsid w:val="00733FAB"/>
    <w:rsid w:val="00734750"/>
    <w:rsid w:val="007419F8"/>
    <w:rsid w:val="00742A9E"/>
    <w:rsid w:val="00747807"/>
    <w:rsid w:val="00747DC3"/>
    <w:rsid w:val="00750255"/>
    <w:rsid w:val="00752747"/>
    <w:rsid w:val="00762AD9"/>
    <w:rsid w:val="00762AEA"/>
    <w:rsid w:val="00762D38"/>
    <w:rsid w:val="00766475"/>
    <w:rsid w:val="00770DE7"/>
    <w:rsid w:val="0077320D"/>
    <w:rsid w:val="00773C4D"/>
    <w:rsid w:val="007742B0"/>
    <w:rsid w:val="0077509F"/>
    <w:rsid w:val="00776E3D"/>
    <w:rsid w:val="00782448"/>
    <w:rsid w:val="0078399D"/>
    <w:rsid w:val="00785A21"/>
    <w:rsid w:val="00787731"/>
    <w:rsid w:val="00787971"/>
    <w:rsid w:val="007944AA"/>
    <w:rsid w:val="007A0C04"/>
    <w:rsid w:val="007A4C4A"/>
    <w:rsid w:val="007A744D"/>
    <w:rsid w:val="007B0B5A"/>
    <w:rsid w:val="007B2061"/>
    <w:rsid w:val="007C2EA7"/>
    <w:rsid w:val="007C6456"/>
    <w:rsid w:val="007D2F93"/>
    <w:rsid w:val="007D69F7"/>
    <w:rsid w:val="007E0A65"/>
    <w:rsid w:val="007E113E"/>
    <w:rsid w:val="007E1959"/>
    <w:rsid w:val="007E1C97"/>
    <w:rsid w:val="007E31BB"/>
    <w:rsid w:val="007E31C2"/>
    <w:rsid w:val="007E4AFF"/>
    <w:rsid w:val="007E4B6C"/>
    <w:rsid w:val="007E4BDE"/>
    <w:rsid w:val="007E6215"/>
    <w:rsid w:val="007E7127"/>
    <w:rsid w:val="007F0D2C"/>
    <w:rsid w:val="007F3032"/>
    <w:rsid w:val="007F4D32"/>
    <w:rsid w:val="007F6892"/>
    <w:rsid w:val="007F6A65"/>
    <w:rsid w:val="007F71D6"/>
    <w:rsid w:val="00800054"/>
    <w:rsid w:val="00800DFE"/>
    <w:rsid w:val="00801F2E"/>
    <w:rsid w:val="00814348"/>
    <w:rsid w:val="00815266"/>
    <w:rsid w:val="00815357"/>
    <w:rsid w:val="00815945"/>
    <w:rsid w:val="00815D8B"/>
    <w:rsid w:val="00826967"/>
    <w:rsid w:val="00831687"/>
    <w:rsid w:val="008324B4"/>
    <w:rsid w:val="008347EA"/>
    <w:rsid w:val="00836BF1"/>
    <w:rsid w:val="008402F3"/>
    <w:rsid w:val="00840973"/>
    <w:rsid w:val="00840D12"/>
    <w:rsid w:val="00842509"/>
    <w:rsid w:val="008476D6"/>
    <w:rsid w:val="0085428B"/>
    <w:rsid w:val="00854706"/>
    <w:rsid w:val="00857C99"/>
    <w:rsid w:val="0086104F"/>
    <w:rsid w:val="00861AC4"/>
    <w:rsid w:val="008663C1"/>
    <w:rsid w:val="008663D4"/>
    <w:rsid w:val="00866D40"/>
    <w:rsid w:val="00870D26"/>
    <w:rsid w:val="00871E35"/>
    <w:rsid w:val="00875DB6"/>
    <w:rsid w:val="008760B3"/>
    <w:rsid w:val="008763A5"/>
    <w:rsid w:val="008844A6"/>
    <w:rsid w:val="00887902"/>
    <w:rsid w:val="00892C8A"/>
    <w:rsid w:val="00893917"/>
    <w:rsid w:val="00894FD3"/>
    <w:rsid w:val="008A03B7"/>
    <w:rsid w:val="008A03CC"/>
    <w:rsid w:val="008B131C"/>
    <w:rsid w:val="008B21B7"/>
    <w:rsid w:val="008B47F3"/>
    <w:rsid w:val="008B6035"/>
    <w:rsid w:val="008B6BC9"/>
    <w:rsid w:val="008B6D95"/>
    <w:rsid w:val="008B6DCA"/>
    <w:rsid w:val="008B7057"/>
    <w:rsid w:val="008C0FEB"/>
    <w:rsid w:val="008C1720"/>
    <w:rsid w:val="008C197B"/>
    <w:rsid w:val="008C3043"/>
    <w:rsid w:val="008C3672"/>
    <w:rsid w:val="008C3871"/>
    <w:rsid w:val="008C4A98"/>
    <w:rsid w:val="008C52D2"/>
    <w:rsid w:val="008D0EB6"/>
    <w:rsid w:val="008D382E"/>
    <w:rsid w:val="008D7F0C"/>
    <w:rsid w:val="008E0324"/>
    <w:rsid w:val="008E278A"/>
    <w:rsid w:val="008E3C8C"/>
    <w:rsid w:val="008E4D53"/>
    <w:rsid w:val="008E55F9"/>
    <w:rsid w:val="008F1BDD"/>
    <w:rsid w:val="008F5328"/>
    <w:rsid w:val="008F6550"/>
    <w:rsid w:val="008F665D"/>
    <w:rsid w:val="009004B4"/>
    <w:rsid w:val="00900F72"/>
    <w:rsid w:val="00901E8E"/>
    <w:rsid w:val="0090587A"/>
    <w:rsid w:val="0090628A"/>
    <w:rsid w:val="009062A1"/>
    <w:rsid w:val="00910BAB"/>
    <w:rsid w:val="00912CFF"/>
    <w:rsid w:val="00915AEB"/>
    <w:rsid w:val="0091755F"/>
    <w:rsid w:val="009175D8"/>
    <w:rsid w:val="00921086"/>
    <w:rsid w:val="0092131F"/>
    <w:rsid w:val="009214E5"/>
    <w:rsid w:val="00921998"/>
    <w:rsid w:val="00923C81"/>
    <w:rsid w:val="00925AAB"/>
    <w:rsid w:val="00932467"/>
    <w:rsid w:val="00934EE6"/>
    <w:rsid w:val="00937FFB"/>
    <w:rsid w:val="00940277"/>
    <w:rsid w:val="00943473"/>
    <w:rsid w:val="00943DAD"/>
    <w:rsid w:val="00947135"/>
    <w:rsid w:val="00947B15"/>
    <w:rsid w:val="00950817"/>
    <w:rsid w:val="00951ED9"/>
    <w:rsid w:val="0095355B"/>
    <w:rsid w:val="00953C45"/>
    <w:rsid w:val="009545C4"/>
    <w:rsid w:val="00960F41"/>
    <w:rsid w:val="00963D2A"/>
    <w:rsid w:val="00967870"/>
    <w:rsid w:val="00975CF6"/>
    <w:rsid w:val="00980759"/>
    <w:rsid w:val="00981E32"/>
    <w:rsid w:val="00983EB3"/>
    <w:rsid w:val="00984698"/>
    <w:rsid w:val="009915CB"/>
    <w:rsid w:val="00996813"/>
    <w:rsid w:val="00997CEE"/>
    <w:rsid w:val="009A13CE"/>
    <w:rsid w:val="009A5E02"/>
    <w:rsid w:val="009B0B75"/>
    <w:rsid w:val="009B1B68"/>
    <w:rsid w:val="009B3D21"/>
    <w:rsid w:val="009B4C80"/>
    <w:rsid w:val="009B4E89"/>
    <w:rsid w:val="009B6215"/>
    <w:rsid w:val="009C3F01"/>
    <w:rsid w:val="009C71E7"/>
    <w:rsid w:val="009C785D"/>
    <w:rsid w:val="009D0FC9"/>
    <w:rsid w:val="009D1F03"/>
    <w:rsid w:val="009E07A6"/>
    <w:rsid w:val="009E0A3C"/>
    <w:rsid w:val="009E0F69"/>
    <w:rsid w:val="009E1439"/>
    <w:rsid w:val="009E526D"/>
    <w:rsid w:val="009E6F2B"/>
    <w:rsid w:val="009E7428"/>
    <w:rsid w:val="009E7F86"/>
    <w:rsid w:val="009F074E"/>
    <w:rsid w:val="009F7454"/>
    <w:rsid w:val="009F7894"/>
    <w:rsid w:val="00A026F3"/>
    <w:rsid w:val="00A063DE"/>
    <w:rsid w:val="00A0681F"/>
    <w:rsid w:val="00A06A05"/>
    <w:rsid w:val="00A07F79"/>
    <w:rsid w:val="00A10142"/>
    <w:rsid w:val="00A147A9"/>
    <w:rsid w:val="00A2134A"/>
    <w:rsid w:val="00A22858"/>
    <w:rsid w:val="00A30F9D"/>
    <w:rsid w:val="00A31C4A"/>
    <w:rsid w:val="00A32382"/>
    <w:rsid w:val="00A343D7"/>
    <w:rsid w:val="00A34EF0"/>
    <w:rsid w:val="00A35D90"/>
    <w:rsid w:val="00A362A6"/>
    <w:rsid w:val="00A36943"/>
    <w:rsid w:val="00A36A24"/>
    <w:rsid w:val="00A41CF4"/>
    <w:rsid w:val="00A439D0"/>
    <w:rsid w:val="00A43A9C"/>
    <w:rsid w:val="00A44194"/>
    <w:rsid w:val="00A46587"/>
    <w:rsid w:val="00A46C76"/>
    <w:rsid w:val="00A46C8C"/>
    <w:rsid w:val="00A52E6C"/>
    <w:rsid w:val="00A551D0"/>
    <w:rsid w:val="00A55B52"/>
    <w:rsid w:val="00A56134"/>
    <w:rsid w:val="00A61DAB"/>
    <w:rsid w:val="00A66154"/>
    <w:rsid w:val="00A6705C"/>
    <w:rsid w:val="00A723A7"/>
    <w:rsid w:val="00A7406B"/>
    <w:rsid w:val="00A75126"/>
    <w:rsid w:val="00A80369"/>
    <w:rsid w:val="00A82768"/>
    <w:rsid w:val="00A8309B"/>
    <w:rsid w:val="00A83427"/>
    <w:rsid w:val="00A83D7F"/>
    <w:rsid w:val="00A84631"/>
    <w:rsid w:val="00A90525"/>
    <w:rsid w:val="00A90854"/>
    <w:rsid w:val="00A94F23"/>
    <w:rsid w:val="00AA1E52"/>
    <w:rsid w:val="00AB1D68"/>
    <w:rsid w:val="00AB2B5D"/>
    <w:rsid w:val="00AB414A"/>
    <w:rsid w:val="00AB5E0A"/>
    <w:rsid w:val="00AB600F"/>
    <w:rsid w:val="00AB6CFC"/>
    <w:rsid w:val="00AB7D57"/>
    <w:rsid w:val="00AC1795"/>
    <w:rsid w:val="00AC7FE1"/>
    <w:rsid w:val="00AD0535"/>
    <w:rsid w:val="00AD5450"/>
    <w:rsid w:val="00AD5AC2"/>
    <w:rsid w:val="00AD5DF7"/>
    <w:rsid w:val="00AD6EB1"/>
    <w:rsid w:val="00AD7C86"/>
    <w:rsid w:val="00AE076C"/>
    <w:rsid w:val="00AE0DBE"/>
    <w:rsid w:val="00AE122F"/>
    <w:rsid w:val="00AE2823"/>
    <w:rsid w:val="00AE4E65"/>
    <w:rsid w:val="00AE65C1"/>
    <w:rsid w:val="00AF1378"/>
    <w:rsid w:val="00AF42D8"/>
    <w:rsid w:val="00AF492E"/>
    <w:rsid w:val="00AF7231"/>
    <w:rsid w:val="00B00944"/>
    <w:rsid w:val="00B0105D"/>
    <w:rsid w:val="00B01788"/>
    <w:rsid w:val="00B02DCA"/>
    <w:rsid w:val="00B14FE3"/>
    <w:rsid w:val="00B17E9D"/>
    <w:rsid w:val="00B259E1"/>
    <w:rsid w:val="00B27F32"/>
    <w:rsid w:val="00B30DFA"/>
    <w:rsid w:val="00B32324"/>
    <w:rsid w:val="00B33464"/>
    <w:rsid w:val="00B3597E"/>
    <w:rsid w:val="00B35B27"/>
    <w:rsid w:val="00B41A26"/>
    <w:rsid w:val="00B41D6B"/>
    <w:rsid w:val="00B430B1"/>
    <w:rsid w:val="00B44654"/>
    <w:rsid w:val="00B4474F"/>
    <w:rsid w:val="00B44A13"/>
    <w:rsid w:val="00B44E92"/>
    <w:rsid w:val="00B45D17"/>
    <w:rsid w:val="00B5023D"/>
    <w:rsid w:val="00B507D7"/>
    <w:rsid w:val="00B52A44"/>
    <w:rsid w:val="00B53677"/>
    <w:rsid w:val="00B56F04"/>
    <w:rsid w:val="00B60223"/>
    <w:rsid w:val="00B6185A"/>
    <w:rsid w:val="00B62F3F"/>
    <w:rsid w:val="00B64285"/>
    <w:rsid w:val="00B65BE3"/>
    <w:rsid w:val="00B66F58"/>
    <w:rsid w:val="00B70D56"/>
    <w:rsid w:val="00B74C23"/>
    <w:rsid w:val="00B75201"/>
    <w:rsid w:val="00B76346"/>
    <w:rsid w:val="00B80703"/>
    <w:rsid w:val="00B84B35"/>
    <w:rsid w:val="00B84C51"/>
    <w:rsid w:val="00B9045E"/>
    <w:rsid w:val="00B90E6C"/>
    <w:rsid w:val="00B930E0"/>
    <w:rsid w:val="00B94793"/>
    <w:rsid w:val="00B96474"/>
    <w:rsid w:val="00B96F42"/>
    <w:rsid w:val="00BA004F"/>
    <w:rsid w:val="00BA1BB7"/>
    <w:rsid w:val="00BA5313"/>
    <w:rsid w:val="00BA5C3D"/>
    <w:rsid w:val="00BA70D4"/>
    <w:rsid w:val="00BB37F5"/>
    <w:rsid w:val="00BB5D61"/>
    <w:rsid w:val="00BC070F"/>
    <w:rsid w:val="00BC4C22"/>
    <w:rsid w:val="00BC4C27"/>
    <w:rsid w:val="00BC505D"/>
    <w:rsid w:val="00BC53D9"/>
    <w:rsid w:val="00BC5778"/>
    <w:rsid w:val="00BC5E09"/>
    <w:rsid w:val="00BC6C70"/>
    <w:rsid w:val="00BC79C4"/>
    <w:rsid w:val="00BD4A85"/>
    <w:rsid w:val="00BD790F"/>
    <w:rsid w:val="00BE0349"/>
    <w:rsid w:val="00BE0A85"/>
    <w:rsid w:val="00BE0D8F"/>
    <w:rsid w:val="00BE2831"/>
    <w:rsid w:val="00BE3C16"/>
    <w:rsid w:val="00BE4370"/>
    <w:rsid w:val="00BE43E6"/>
    <w:rsid w:val="00BE6859"/>
    <w:rsid w:val="00BF0C39"/>
    <w:rsid w:val="00BF215F"/>
    <w:rsid w:val="00BF2EE8"/>
    <w:rsid w:val="00BF5F64"/>
    <w:rsid w:val="00BF6386"/>
    <w:rsid w:val="00BF6519"/>
    <w:rsid w:val="00BF7431"/>
    <w:rsid w:val="00BF7AB1"/>
    <w:rsid w:val="00BF7E9F"/>
    <w:rsid w:val="00C03DDF"/>
    <w:rsid w:val="00C03EBF"/>
    <w:rsid w:val="00C04051"/>
    <w:rsid w:val="00C06696"/>
    <w:rsid w:val="00C123D3"/>
    <w:rsid w:val="00C131A4"/>
    <w:rsid w:val="00C13872"/>
    <w:rsid w:val="00C14317"/>
    <w:rsid w:val="00C16805"/>
    <w:rsid w:val="00C17A06"/>
    <w:rsid w:val="00C21EF2"/>
    <w:rsid w:val="00C278EF"/>
    <w:rsid w:val="00C3311E"/>
    <w:rsid w:val="00C42127"/>
    <w:rsid w:val="00C42C8C"/>
    <w:rsid w:val="00C43A23"/>
    <w:rsid w:val="00C44D2D"/>
    <w:rsid w:val="00C4583D"/>
    <w:rsid w:val="00C510BC"/>
    <w:rsid w:val="00C5146B"/>
    <w:rsid w:val="00C51A58"/>
    <w:rsid w:val="00C51B30"/>
    <w:rsid w:val="00C53119"/>
    <w:rsid w:val="00C5695E"/>
    <w:rsid w:val="00C6283E"/>
    <w:rsid w:val="00C62C52"/>
    <w:rsid w:val="00C62E55"/>
    <w:rsid w:val="00C666DB"/>
    <w:rsid w:val="00C7264C"/>
    <w:rsid w:val="00C746B1"/>
    <w:rsid w:val="00C76925"/>
    <w:rsid w:val="00C81D84"/>
    <w:rsid w:val="00C846D7"/>
    <w:rsid w:val="00C851AA"/>
    <w:rsid w:val="00C8567D"/>
    <w:rsid w:val="00C85C7A"/>
    <w:rsid w:val="00C93E66"/>
    <w:rsid w:val="00C94CEB"/>
    <w:rsid w:val="00C95C70"/>
    <w:rsid w:val="00C96328"/>
    <w:rsid w:val="00C96642"/>
    <w:rsid w:val="00C96845"/>
    <w:rsid w:val="00CA2E4F"/>
    <w:rsid w:val="00CA3683"/>
    <w:rsid w:val="00CA4460"/>
    <w:rsid w:val="00CA695F"/>
    <w:rsid w:val="00CB2568"/>
    <w:rsid w:val="00CB73A0"/>
    <w:rsid w:val="00CB78E4"/>
    <w:rsid w:val="00CC0BF3"/>
    <w:rsid w:val="00CC22E2"/>
    <w:rsid w:val="00CC2B90"/>
    <w:rsid w:val="00CC31FA"/>
    <w:rsid w:val="00CD0175"/>
    <w:rsid w:val="00CD1690"/>
    <w:rsid w:val="00CD5757"/>
    <w:rsid w:val="00CE2727"/>
    <w:rsid w:val="00CE5290"/>
    <w:rsid w:val="00CE55AC"/>
    <w:rsid w:val="00CE6BEE"/>
    <w:rsid w:val="00CE7767"/>
    <w:rsid w:val="00CF26E2"/>
    <w:rsid w:val="00CF3531"/>
    <w:rsid w:val="00CF39CA"/>
    <w:rsid w:val="00CF6C23"/>
    <w:rsid w:val="00CF7052"/>
    <w:rsid w:val="00D00BAE"/>
    <w:rsid w:val="00D04F00"/>
    <w:rsid w:val="00D0647C"/>
    <w:rsid w:val="00D075C3"/>
    <w:rsid w:val="00D100CA"/>
    <w:rsid w:val="00D143A0"/>
    <w:rsid w:val="00D16B79"/>
    <w:rsid w:val="00D236AA"/>
    <w:rsid w:val="00D30F56"/>
    <w:rsid w:val="00D32ED3"/>
    <w:rsid w:val="00D32F29"/>
    <w:rsid w:val="00D339D9"/>
    <w:rsid w:val="00D373B1"/>
    <w:rsid w:val="00D40076"/>
    <w:rsid w:val="00D4170C"/>
    <w:rsid w:val="00D4419D"/>
    <w:rsid w:val="00D4506C"/>
    <w:rsid w:val="00D50A16"/>
    <w:rsid w:val="00D52011"/>
    <w:rsid w:val="00D525A3"/>
    <w:rsid w:val="00D75C38"/>
    <w:rsid w:val="00D801C4"/>
    <w:rsid w:val="00D80376"/>
    <w:rsid w:val="00D81409"/>
    <w:rsid w:val="00D82D11"/>
    <w:rsid w:val="00D83A19"/>
    <w:rsid w:val="00D83FB1"/>
    <w:rsid w:val="00D87712"/>
    <w:rsid w:val="00D903B5"/>
    <w:rsid w:val="00D910DF"/>
    <w:rsid w:val="00D91946"/>
    <w:rsid w:val="00D95833"/>
    <w:rsid w:val="00D96A5B"/>
    <w:rsid w:val="00DA2FAB"/>
    <w:rsid w:val="00DA3749"/>
    <w:rsid w:val="00DA3AA4"/>
    <w:rsid w:val="00DB0FAA"/>
    <w:rsid w:val="00DB1B95"/>
    <w:rsid w:val="00DB1C17"/>
    <w:rsid w:val="00DB33A8"/>
    <w:rsid w:val="00DB3470"/>
    <w:rsid w:val="00DB5CF9"/>
    <w:rsid w:val="00DC2C47"/>
    <w:rsid w:val="00DC457B"/>
    <w:rsid w:val="00DC7396"/>
    <w:rsid w:val="00DD2EC9"/>
    <w:rsid w:val="00DE24E0"/>
    <w:rsid w:val="00DE458A"/>
    <w:rsid w:val="00DE5BEE"/>
    <w:rsid w:val="00DE6AAE"/>
    <w:rsid w:val="00DF349D"/>
    <w:rsid w:val="00DF3836"/>
    <w:rsid w:val="00DF5669"/>
    <w:rsid w:val="00E00442"/>
    <w:rsid w:val="00E00F29"/>
    <w:rsid w:val="00E07EA0"/>
    <w:rsid w:val="00E10577"/>
    <w:rsid w:val="00E117B7"/>
    <w:rsid w:val="00E164A2"/>
    <w:rsid w:val="00E23B43"/>
    <w:rsid w:val="00E257DC"/>
    <w:rsid w:val="00E30A63"/>
    <w:rsid w:val="00E30AB8"/>
    <w:rsid w:val="00E31FB9"/>
    <w:rsid w:val="00E330AA"/>
    <w:rsid w:val="00E33AC1"/>
    <w:rsid w:val="00E34D5A"/>
    <w:rsid w:val="00E3547F"/>
    <w:rsid w:val="00E35D3B"/>
    <w:rsid w:val="00E36A82"/>
    <w:rsid w:val="00E406F2"/>
    <w:rsid w:val="00E416D3"/>
    <w:rsid w:val="00E4246D"/>
    <w:rsid w:val="00E44794"/>
    <w:rsid w:val="00E501DA"/>
    <w:rsid w:val="00E502CE"/>
    <w:rsid w:val="00E50C8B"/>
    <w:rsid w:val="00E56FE9"/>
    <w:rsid w:val="00E62192"/>
    <w:rsid w:val="00E638C4"/>
    <w:rsid w:val="00E7174F"/>
    <w:rsid w:val="00E71A8B"/>
    <w:rsid w:val="00E72C89"/>
    <w:rsid w:val="00E75B51"/>
    <w:rsid w:val="00E824F3"/>
    <w:rsid w:val="00E833AF"/>
    <w:rsid w:val="00E904AB"/>
    <w:rsid w:val="00E90E9E"/>
    <w:rsid w:val="00E9455C"/>
    <w:rsid w:val="00E97FD1"/>
    <w:rsid w:val="00EA11E7"/>
    <w:rsid w:val="00EA12DC"/>
    <w:rsid w:val="00EA6D07"/>
    <w:rsid w:val="00EB218F"/>
    <w:rsid w:val="00EB2D8E"/>
    <w:rsid w:val="00EB6A4C"/>
    <w:rsid w:val="00EB6EEE"/>
    <w:rsid w:val="00EC451C"/>
    <w:rsid w:val="00EC531D"/>
    <w:rsid w:val="00EC7B13"/>
    <w:rsid w:val="00ED2711"/>
    <w:rsid w:val="00ED5233"/>
    <w:rsid w:val="00EE1F5B"/>
    <w:rsid w:val="00EE2D5E"/>
    <w:rsid w:val="00EE42C5"/>
    <w:rsid w:val="00EF08F6"/>
    <w:rsid w:val="00EF396E"/>
    <w:rsid w:val="00EF6D93"/>
    <w:rsid w:val="00F002E6"/>
    <w:rsid w:val="00F01567"/>
    <w:rsid w:val="00F01761"/>
    <w:rsid w:val="00F02263"/>
    <w:rsid w:val="00F11C23"/>
    <w:rsid w:val="00F11D7E"/>
    <w:rsid w:val="00F11F72"/>
    <w:rsid w:val="00F13980"/>
    <w:rsid w:val="00F13D08"/>
    <w:rsid w:val="00F15978"/>
    <w:rsid w:val="00F16DD1"/>
    <w:rsid w:val="00F272E2"/>
    <w:rsid w:val="00F27D39"/>
    <w:rsid w:val="00F34000"/>
    <w:rsid w:val="00F41599"/>
    <w:rsid w:val="00F41A4F"/>
    <w:rsid w:val="00F45748"/>
    <w:rsid w:val="00F468B0"/>
    <w:rsid w:val="00F50227"/>
    <w:rsid w:val="00F5274D"/>
    <w:rsid w:val="00F54A3E"/>
    <w:rsid w:val="00F54DC8"/>
    <w:rsid w:val="00F57F00"/>
    <w:rsid w:val="00F62005"/>
    <w:rsid w:val="00F622C2"/>
    <w:rsid w:val="00F65A1E"/>
    <w:rsid w:val="00F66A09"/>
    <w:rsid w:val="00F746B1"/>
    <w:rsid w:val="00F757FB"/>
    <w:rsid w:val="00F75C65"/>
    <w:rsid w:val="00F760B7"/>
    <w:rsid w:val="00F766E4"/>
    <w:rsid w:val="00F805E0"/>
    <w:rsid w:val="00F817CA"/>
    <w:rsid w:val="00F848DB"/>
    <w:rsid w:val="00F85208"/>
    <w:rsid w:val="00F85A24"/>
    <w:rsid w:val="00F86004"/>
    <w:rsid w:val="00F8644B"/>
    <w:rsid w:val="00F87879"/>
    <w:rsid w:val="00F903BD"/>
    <w:rsid w:val="00F91D47"/>
    <w:rsid w:val="00F939C3"/>
    <w:rsid w:val="00F93AAB"/>
    <w:rsid w:val="00F96DD7"/>
    <w:rsid w:val="00F97781"/>
    <w:rsid w:val="00FA0137"/>
    <w:rsid w:val="00FA453A"/>
    <w:rsid w:val="00FB0158"/>
    <w:rsid w:val="00FB062F"/>
    <w:rsid w:val="00FB1474"/>
    <w:rsid w:val="00FB51D4"/>
    <w:rsid w:val="00FB5418"/>
    <w:rsid w:val="00FB54D6"/>
    <w:rsid w:val="00FC0914"/>
    <w:rsid w:val="00FC6554"/>
    <w:rsid w:val="00FC6EE3"/>
    <w:rsid w:val="00FC75AD"/>
    <w:rsid w:val="00FD0293"/>
    <w:rsid w:val="00FD182D"/>
    <w:rsid w:val="00FD7132"/>
    <w:rsid w:val="00FD72F2"/>
    <w:rsid w:val="00FE219F"/>
    <w:rsid w:val="00FF0F12"/>
    <w:rsid w:val="00FF78B5"/>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List Bullet"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D0293"/>
    <w:rPr>
      <w:sz w:val="24"/>
      <w:szCs w:val="24"/>
    </w:rPr>
  </w:style>
  <w:style w:type="paragraph" w:styleId="Heading1">
    <w:name w:val="heading 1"/>
    <w:basedOn w:val="Normal"/>
    <w:link w:val="Heading1Char"/>
    <w:uiPriority w:val="9"/>
    <w:qFormat/>
    <w:rsid w:val="00614DE5"/>
    <w:pPr>
      <w:spacing w:before="100" w:beforeAutospacing="1" w:after="150" w:line="312" w:lineRule="atLeast"/>
      <w:outlineLvl w:val="0"/>
    </w:pPr>
    <w:rPr>
      <w:b/>
      <w:bCs/>
      <w:color w:val="00517D"/>
      <w:kern w:val="36"/>
      <w:sz w:val="34"/>
      <w:szCs w:val="34"/>
    </w:rPr>
  </w:style>
  <w:style w:type="paragraph" w:styleId="Heading4">
    <w:name w:val="heading 4"/>
    <w:basedOn w:val="Normal"/>
    <w:next w:val="Normal"/>
    <w:link w:val="Heading4Char"/>
    <w:semiHidden/>
    <w:unhideWhenUsed/>
    <w:qFormat/>
    <w:rsid w:val="00492FB3"/>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semiHidden/>
    <w:unhideWhenUsed/>
    <w:qFormat/>
    <w:rsid w:val="00492FB3"/>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IntenseEmphasis">
    <w:name w:val="Intense Emphasis"/>
    <w:basedOn w:val="DefaultParagraphFont"/>
    <w:uiPriority w:val="21"/>
    <w:qFormat/>
    <w:rsid w:val="00342C3D"/>
    <w:rPr>
      <w:b/>
      <w:bCs/>
      <w:i/>
      <w:iCs/>
      <w:color w:val="4F81BD" w:themeColor="accent1"/>
    </w:rPr>
  </w:style>
  <w:style w:type="paragraph" w:styleId="IntenseQuote">
    <w:name w:val="Intense Quote"/>
    <w:basedOn w:val="Normal"/>
    <w:next w:val="Normal"/>
    <w:link w:val="IntenseQuoteChar"/>
    <w:uiPriority w:val="30"/>
    <w:qFormat/>
    <w:rsid w:val="00342C3D"/>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342C3D"/>
    <w:rPr>
      <w:b/>
      <w:bCs/>
      <w:i/>
      <w:iCs/>
      <w:color w:val="4F81BD" w:themeColor="accent1"/>
      <w:sz w:val="24"/>
      <w:szCs w:val="24"/>
    </w:rPr>
  </w:style>
  <w:style w:type="paragraph" w:styleId="ListParagraph">
    <w:name w:val="List Paragraph"/>
    <w:basedOn w:val="Normal"/>
    <w:uiPriority w:val="99"/>
    <w:qFormat/>
    <w:rsid w:val="00F817CA"/>
    <w:pPr>
      <w:ind w:left="720"/>
      <w:contextualSpacing/>
    </w:pPr>
  </w:style>
  <w:style w:type="character" w:styleId="Hyperlink">
    <w:name w:val="Hyperlink"/>
    <w:basedOn w:val="DefaultParagraphFont"/>
    <w:rsid w:val="00BD4A85"/>
    <w:rPr>
      <w:color w:val="0000FF" w:themeColor="hyperlink"/>
      <w:u w:val="single"/>
    </w:rPr>
  </w:style>
  <w:style w:type="character" w:customStyle="1" w:styleId="Heading1Char">
    <w:name w:val="Heading 1 Char"/>
    <w:basedOn w:val="DefaultParagraphFont"/>
    <w:link w:val="Heading1"/>
    <w:uiPriority w:val="9"/>
    <w:rsid w:val="00614DE5"/>
    <w:rPr>
      <w:b/>
      <w:bCs/>
      <w:color w:val="00517D"/>
      <w:kern w:val="36"/>
      <w:sz w:val="34"/>
      <w:szCs w:val="34"/>
    </w:rPr>
  </w:style>
  <w:style w:type="character" w:styleId="FollowedHyperlink">
    <w:name w:val="FollowedHyperlink"/>
    <w:basedOn w:val="DefaultParagraphFont"/>
    <w:rsid w:val="00D82D11"/>
    <w:rPr>
      <w:color w:val="800080" w:themeColor="followedHyperlink"/>
      <w:u w:val="single"/>
    </w:rPr>
  </w:style>
  <w:style w:type="paragraph" w:styleId="ListBullet">
    <w:name w:val="List Bullet"/>
    <w:basedOn w:val="Normal"/>
    <w:uiPriority w:val="99"/>
    <w:rsid w:val="00492FB3"/>
    <w:pPr>
      <w:numPr>
        <w:numId w:val="3"/>
      </w:numPr>
      <w:tabs>
        <w:tab w:val="clear" w:pos="360"/>
        <w:tab w:val="num" w:pos="0"/>
      </w:tabs>
      <w:spacing w:after="115" w:line="220" w:lineRule="atLeast"/>
      <w:ind w:left="0" w:hanging="278"/>
    </w:pPr>
    <w:rPr>
      <w:rFonts w:ascii="Arial" w:eastAsia="Calibri" w:hAnsi="Arial"/>
      <w:color w:val="00517D"/>
      <w:sz w:val="18"/>
      <w:szCs w:val="18"/>
      <w:lang w:eastAsia="en-US"/>
    </w:rPr>
  </w:style>
  <w:style w:type="paragraph" w:customStyle="1" w:styleId="Heading4UnNumbered">
    <w:name w:val="Heading 4 – UnNumbered"/>
    <w:basedOn w:val="Heading4"/>
    <w:rsid w:val="00492FB3"/>
    <w:pPr>
      <w:tabs>
        <w:tab w:val="left" w:pos="851"/>
      </w:tabs>
      <w:spacing w:before="120" w:line="220" w:lineRule="atLeast"/>
    </w:pPr>
    <w:rPr>
      <w:rFonts w:ascii="Arial" w:eastAsia="Times New Roman" w:hAnsi="Arial" w:cs="Times New Roman"/>
      <w:i w:val="0"/>
      <w:color w:val="00517D"/>
      <w:sz w:val="18"/>
      <w:szCs w:val="18"/>
      <w:lang w:eastAsia="en-US"/>
    </w:rPr>
  </w:style>
  <w:style w:type="paragraph" w:customStyle="1" w:styleId="Heading5UnNumbered">
    <w:name w:val="Heading 5 – UnNumbered"/>
    <w:basedOn w:val="Heading5"/>
    <w:uiPriority w:val="99"/>
    <w:rsid w:val="00492FB3"/>
    <w:pPr>
      <w:keepNext w:val="0"/>
      <w:keepLines w:val="0"/>
      <w:tabs>
        <w:tab w:val="left" w:pos="993"/>
      </w:tabs>
      <w:spacing w:before="100" w:after="60" w:line="220" w:lineRule="atLeast"/>
    </w:pPr>
    <w:rPr>
      <w:rFonts w:ascii="Arial" w:eastAsia="Calibri" w:hAnsi="Arial" w:cs="Times New Roman"/>
      <w:i/>
      <w:color w:val="00517D"/>
      <w:sz w:val="18"/>
      <w:szCs w:val="18"/>
      <w:lang w:eastAsia="en-US"/>
    </w:rPr>
  </w:style>
  <w:style w:type="character" w:customStyle="1" w:styleId="Heading4Char">
    <w:name w:val="Heading 4 Char"/>
    <w:basedOn w:val="DefaultParagraphFont"/>
    <w:link w:val="Heading4"/>
    <w:semiHidden/>
    <w:rsid w:val="00492FB3"/>
    <w:rPr>
      <w:rFonts w:asciiTheme="majorHAnsi" w:eastAsiaTheme="majorEastAsia" w:hAnsiTheme="majorHAnsi" w:cstheme="majorBidi"/>
      <w:b/>
      <w:bCs/>
      <w:i/>
      <w:iCs/>
      <w:color w:val="4F81BD" w:themeColor="accent1"/>
      <w:sz w:val="24"/>
      <w:szCs w:val="24"/>
    </w:rPr>
  </w:style>
  <w:style w:type="character" w:customStyle="1" w:styleId="Heading5Char">
    <w:name w:val="Heading 5 Char"/>
    <w:basedOn w:val="DefaultParagraphFont"/>
    <w:link w:val="Heading5"/>
    <w:semiHidden/>
    <w:rsid w:val="00492FB3"/>
    <w:rPr>
      <w:rFonts w:asciiTheme="majorHAnsi" w:eastAsiaTheme="majorEastAsia" w:hAnsiTheme="majorHAnsi" w:cstheme="majorBidi"/>
      <w:color w:val="243F60" w:themeColor="accent1" w:themeShade="7F"/>
      <w:sz w:val="24"/>
      <w:szCs w:val="24"/>
    </w:rPr>
  </w:style>
</w:styles>
</file>

<file path=word/webSettings.xml><?xml version="1.0" encoding="utf-8"?>
<w:webSettings xmlns:r="http://schemas.openxmlformats.org/officeDocument/2006/relationships" xmlns:w="http://schemas.openxmlformats.org/wordprocessingml/2006/main">
  <w:divs>
    <w:div w:id="263461963">
      <w:bodyDiv w:val="1"/>
      <w:marLeft w:val="0"/>
      <w:marRight w:val="0"/>
      <w:marTop w:val="0"/>
      <w:marBottom w:val="0"/>
      <w:divBdr>
        <w:top w:val="none" w:sz="0" w:space="0" w:color="auto"/>
        <w:left w:val="none" w:sz="0" w:space="0" w:color="auto"/>
        <w:bottom w:val="none" w:sz="0" w:space="0" w:color="auto"/>
        <w:right w:val="none" w:sz="0" w:space="0" w:color="auto"/>
      </w:divBdr>
    </w:div>
    <w:div w:id="1053037415">
      <w:bodyDiv w:val="1"/>
      <w:marLeft w:val="0"/>
      <w:marRight w:val="0"/>
      <w:marTop w:val="0"/>
      <w:marBottom w:val="0"/>
      <w:divBdr>
        <w:top w:val="none" w:sz="0" w:space="0" w:color="auto"/>
        <w:left w:val="none" w:sz="0" w:space="0" w:color="auto"/>
        <w:bottom w:val="none" w:sz="0" w:space="0" w:color="auto"/>
        <w:right w:val="none" w:sz="0" w:space="0" w:color="auto"/>
      </w:divBdr>
      <w:divsChild>
        <w:div w:id="808519195">
          <w:marLeft w:val="0"/>
          <w:marRight w:val="0"/>
          <w:marTop w:val="0"/>
          <w:marBottom w:val="0"/>
          <w:divBdr>
            <w:top w:val="none" w:sz="0" w:space="0" w:color="auto"/>
            <w:left w:val="none" w:sz="0" w:space="0" w:color="auto"/>
            <w:bottom w:val="none" w:sz="0" w:space="0" w:color="auto"/>
            <w:right w:val="none" w:sz="0" w:space="0" w:color="auto"/>
          </w:divBdr>
          <w:divsChild>
            <w:div w:id="1052386324">
              <w:marLeft w:val="0"/>
              <w:marRight w:val="0"/>
              <w:marTop w:val="0"/>
              <w:marBottom w:val="0"/>
              <w:divBdr>
                <w:top w:val="none" w:sz="0" w:space="0" w:color="auto"/>
                <w:left w:val="none" w:sz="0" w:space="0" w:color="auto"/>
                <w:bottom w:val="none" w:sz="0" w:space="0" w:color="auto"/>
                <w:right w:val="none" w:sz="0" w:space="0" w:color="auto"/>
              </w:divBdr>
              <w:divsChild>
                <w:div w:id="416752888">
                  <w:marLeft w:val="0"/>
                  <w:marRight w:val="0"/>
                  <w:marTop w:val="0"/>
                  <w:marBottom w:val="0"/>
                  <w:divBdr>
                    <w:top w:val="none" w:sz="0" w:space="0" w:color="auto"/>
                    <w:left w:val="none" w:sz="0" w:space="0" w:color="auto"/>
                    <w:bottom w:val="none" w:sz="0" w:space="0" w:color="auto"/>
                    <w:right w:val="none" w:sz="0" w:space="0" w:color="auto"/>
                  </w:divBdr>
                  <w:divsChild>
                    <w:div w:id="281573592">
                      <w:marLeft w:val="0"/>
                      <w:marRight w:val="0"/>
                      <w:marTop w:val="0"/>
                      <w:marBottom w:val="1095"/>
                      <w:divBdr>
                        <w:top w:val="none" w:sz="0" w:space="0" w:color="auto"/>
                        <w:left w:val="none" w:sz="0" w:space="0" w:color="auto"/>
                        <w:bottom w:val="none" w:sz="0" w:space="0" w:color="auto"/>
                        <w:right w:val="none" w:sz="0" w:space="0" w:color="auto"/>
                      </w:divBdr>
                      <w:divsChild>
                        <w:div w:id="572201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9563566">
      <w:bodyDiv w:val="1"/>
      <w:marLeft w:val="0"/>
      <w:marRight w:val="0"/>
      <w:marTop w:val="0"/>
      <w:marBottom w:val="0"/>
      <w:divBdr>
        <w:top w:val="none" w:sz="0" w:space="0" w:color="auto"/>
        <w:left w:val="none" w:sz="0" w:space="0" w:color="auto"/>
        <w:bottom w:val="none" w:sz="0" w:space="0" w:color="auto"/>
        <w:right w:val="none" w:sz="0" w:space="0" w:color="auto"/>
      </w:divBdr>
      <w:divsChild>
        <w:div w:id="362290320">
          <w:marLeft w:val="0"/>
          <w:marRight w:val="0"/>
          <w:marTop w:val="0"/>
          <w:marBottom w:val="0"/>
          <w:divBdr>
            <w:top w:val="none" w:sz="0" w:space="0" w:color="auto"/>
            <w:left w:val="none" w:sz="0" w:space="0" w:color="auto"/>
            <w:bottom w:val="none" w:sz="0" w:space="0" w:color="auto"/>
            <w:right w:val="none" w:sz="0" w:space="0" w:color="auto"/>
          </w:divBdr>
          <w:divsChild>
            <w:div w:id="1907911361">
              <w:marLeft w:val="0"/>
              <w:marRight w:val="0"/>
              <w:marTop w:val="0"/>
              <w:marBottom w:val="0"/>
              <w:divBdr>
                <w:top w:val="none" w:sz="0" w:space="0" w:color="auto"/>
                <w:left w:val="none" w:sz="0" w:space="0" w:color="auto"/>
                <w:bottom w:val="none" w:sz="0" w:space="0" w:color="auto"/>
                <w:right w:val="none" w:sz="0" w:space="0" w:color="auto"/>
              </w:divBdr>
              <w:divsChild>
                <w:div w:id="342781956">
                  <w:marLeft w:val="0"/>
                  <w:marRight w:val="0"/>
                  <w:marTop w:val="0"/>
                  <w:marBottom w:val="0"/>
                  <w:divBdr>
                    <w:top w:val="none" w:sz="0" w:space="0" w:color="auto"/>
                    <w:left w:val="none" w:sz="0" w:space="0" w:color="auto"/>
                    <w:bottom w:val="none" w:sz="0" w:space="0" w:color="auto"/>
                    <w:right w:val="none" w:sz="0" w:space="0" w:color="auto"/>
                  </w:divBdr>
                  <w:divsChild>
                    <w:div w:id="359404799">
                      <w:marLeft w:val="0"/>
                      <w:marRight w:val="0"/>
                      <w:marTop w:val="0"/>
                      <w:marBottom w:val="1095"/>
                      <w:divBdr>
                        <w:top w:val="none" w:sz="0" w:space="0" w:color="auto"/>
                        <w:left w:val="none" w:sz="0" w:space="0" w:color="auto"/>
                        <w:bottom w:val="none" w:sz="0" w:space="0" w:color="auto"/>
                        <w:right w:val="none" w:sz="0" w:space="0" w:color="auto"/>
                      </w:divBdr>
                      <w:divsChild>
                        <w:div w:id="474611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rms.asqa.gov.au/"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rto.ncver.edu.au" TargetMode="External"/><Relationship Id="rId12" Type="http://schemas.openxmlformats.org/officeDocument/2006/relationships/hyperlink" Target="mailto:margaret.broun@det.nsw.edu.a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sqa.gov.au/media-and-publications/newsletter-sign-up.html" TargetMode="External"/><Relationship Id="rId11" Type="http://schemas.openxmlformats.org/officeDocument/2006/relationships/hyperlink" Target="mailto:debbie.nilsson@det.nsw.edu.au" TargetMode="External"/><Relationship Id="rId5" Type="http://schemas.openxmlformats.org/officeDocument/2006/relationships/hyperlink" Target="http://www.asqa.gov.au/media-and-publications/newsletter-sign-up.html" TargetMode="External"/><Relationship Id="rId10" Type="http://schemas.openxmlformats.org/officeDocument/2006/relationships/hyperlink" Target="mailto:robyn.pemberton@det.nsw.edu.au" TargetMode="External"/><Relationship Id="rId4" Type="http://schemas.openxmlformats.org/officeDocument/2006/relationships/webSettings" Target="webSettings.xml"/><Relationship Id="rId9" Type="http://schemas.openxmlformats.org/officeDocument/2006/relationships/hyperlink" Target="http://rms.asqa.gov.au/"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268</TotalTime>
  <Pages>6</Pages>
  <Words>1459</Words>
  <Characters>8774</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NSW Department of Education and Training</Company>
  <LinksUpToDate>false</LinksUpToDate>
  <CharactersWithSpaces>10213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RPemberton5</dc:creator>
  <cp:keywords/>
  <dc:description/>
  <cp:lastModifiedBy>RPemberton5</cp:lastModifiedBy>
  <cp:revision>25</cp:revision>
  <dcterms:created xsi:type="dcterms:W3CDTF">2012-02-28T04:24:00Z</dcterms:created>
  <dcterms:modified xsi:type="dcterms:W3CDTF">2012-03-06T01:35:00Z</dcterms:modified>
</cp:coreProperties>
</file>